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Bdr>
          <w:bottom w:val="single" w:sz="16" w:space="4" w:color="004C98"/>
        </w:pBdr>
      </w:pPr>
    </w:p>
    <w:p>
      <w:pPr>
        <w:spacing w:after="40"/>
      </w:pPr>
    </w:p>
    <w:p/>
    <w:p/>
    <w:p>
      <w:pPr>
        <w:spacing w:after="80"/>
      </w:pPr>
    </w:p>
    <w:p>
      <w:pPr>
        <w:spacing w:after="40"/>
      </w:pPr>
    </w:p>
    <w:p>
      <w:pPr>
        <w:spacing w:after="120"/>
      </w:pPr>
    </w:p>
    <w:p>
      <w:pPr>
        <w:spacing w:after="40"/>
      </w:pPr>
    </w:p>
    <w:p/>
    <w:p>
      <w:pPr>
        <w:spacing w:before="240" w:after="120"/>
        <w:pBdr>
          <w:bottom w:val="single" w:sz="8" w:color="004C98" w:space="1"/>
        </w:pBdr>
      </w:pPr>
      <w:r>
        <w:rPr>
          <w:rFonts w:ascii="Calibri" w:hAnsi="Calibri"/>
          <w:b/>
          <w:color w:val="004C98"/>
          <w:sz w:val="36"/>
        </w:rPr>
        <w:t>SAFETY DATA SHEET</w:t>
      </w:r>
    </w:p>
    <w:p>
      <w:pPr>
        <w:spacing w:before="0" w:after="80"/>
      </w:pPr>
      <w:r>
        <w:rPr>
          <w:rFonts w:ascii="Calibri" w:hAnsi="Calibri"/>
          <w:b w:val="0"/>
          <w:color w:val="2B2E33"/>
          <w:sz w:val="24"/>
        </w:rPr>
        <w:t>Ethyl acetate</w:t>
      </w:r>
    </w:p>
    <w:p>
      <w:pPr>
        <w:spacing w:before="0" w:after="80"/>
      </w:pPr>
      <w:r>
        <w:rPr>
          <w:rFonts w:ascii="Calibri" w:hAnsi="Calibri"/>
          <w:b w:val="0"/>
          <w:sz w:val="8"/>
        </w:rPr>
      </w:r>
    </w:p>
    <w:p>
      <w:pPr>
        <w:spacing w:before="0" w:after="80"/>
        <w:pBdr>
          <w:bottom w:val="single" w:sz="4" w:color="D9E1E8" w:space="1"/>
        </w:pBdr>
      </w:pPr>
      <w:r>
        <w:rPr>
          <w:rFonts w:ascii="Calibri" w:hAnsi="Calibri"/>
          <w:b w:val="0"/>
          <w:color w:val="5B6670"/>
          <w:sz w:val="16"/>
        </w:rPr>
        <w:t>According to Regulation (EU) 2020/878 (REACH Annex II) · CLP (EC) 1272/2008 as amended by EU 2024/2865</w:t>
      </w:r>
    </w:p>
    <w:p>
      <w:pPr>
        <w:spacing w:before="200" w:after="120"/>
        <w:ind w:left="144"/>
        <w:pBdr>
          <w:left w:val="single" w:sz="24" w:color="0071B8" w:space="8"/>
        </w:pBdr>
      </w:pPr>
      <w:r>
        <w:rPr>
          <w:rFonts w:ascii="Calibri" w:hAnsi="Calibri"/>
          <w:b/>
          <w:color w:val="2B2E33"/>
          <w:sz w:val="26"/>
        </w:rPr>
        <w:t xml:space="preserve">  SECTION 1: Identification of the substance/mixture and of the company/undertaking</w:t>
      </w:r>
    </w:p>
    <w:p>
      <w:pPr>
        <w:spacing w:before="160" w:after="80"/>
      </w:pPr>
      <w:r>
        <w:rPr>
          <w:rFonts w:ascii="Calibri" w:hAnsi="Calibri"/>
          <w:b/>
          <w:color w:val="2B2E33"/>
          <w:sz w:val="22"/>
        </w:rPr>
        <w:t>1.1 Product identifier</w:t>
      </w:r>
    </w:p>
    <w:tbl>
      <w:tblPr>
        <w:tblStyle w:val="TableGrid"/>
        <w:tblW w:type="auto" w:w="0"/>
        <w:tblLook w:firstColumn="1" w:firstRow="1" w:lastColumn="0" w:lastRow="0" w:noHBand="0" w:noVBand="1" w:val="04A0"/>
      </w:tblPr>
      <w:tblGrid>
        <w:gridCol w:w="4706"/>
        <w:gridCol w:w="4706"/>
      </w:tblGrid>
      <w:tr>
        <w:tc>
          <w:tcPr>
            <w:tcW w:type="dxa" w:w="4706"/>
            <w:shd w:val="clear" w:color="auto" w:fill="004C98"/>
          </w:tcPr>
          <w:p>
            <w:r/>
            <w:r>
              <w:rPr>
                <w:rFonts w:ascii="Calibri" w:hAnsi="Calibri"/>
                <w:b/>
                <w:color w:val="FFFFFF"/>
                <w:sz w:val="19"/>
              </w:rPr>
              <w:t>Property</w:t>
            </w:r>
          </w:p>
        </w:tc>
        <w:tc>
          <w:tcPr>
            <w:tcW w:type="dxa" w:w="4706"/>
            <w:shd w:val="clear" w:color="auto" w:fill="004C98"/>
          </w:tcPr>
          <w:p>
            <w:r/>
            <w:r>
              <w:rPr>
                <w:rFonts w:ascii="Calibri" w:hAnsi="Calibri"/>
                <w:b/>
                <w:color w:val="FFFFFF"/>
                <w:sz w:val="19"/>
              </w:rPr>
              <w:t>Value</w:t>
            </w:r>
          </w:p>
        </w:tc>
      </w:tr>
      <w:tr>
        <w:tc>
          <w:tcPr>
            <w:tcW w:type="dxa" w:w="4706"/>
          </w:tcPr>
          <w:p>
            <w:r/>
            <w:r>
              <w:rPr>
                <w:rFonts w:ascii="Calibri" w:hAnsi="Calibri"/>
                <w:b/>
                <w:color w:val="2B2E33"/>
                <w:sz w:val="19"/>
              </w:rPr>
              <w:t>Product form</w:t>
            </w:r>
          </w:p>
        </w:tc>
        <w:tc>
          <w:tcPr>
            <w:tcW w:type="dxa" w:w="4706"/>
          </w:tcPr>
          <w:p>
            <w:r/>
            <w:r>
              <w:rPr>
                <w:rFonts w:ascii="Calibri" w:hAnsi="Calibri"/>
                <w:color w:val="2B2E33"/>
                <w:sz w:val="19"/>
              </w:rPr>
              <w:t>Substance</w:t>
            </w:r>
          </w:p>
        </w:tc>
      </w:tr>
      <w:tr>
        <w:tc>
          <w:tcPr>
            <w:tcW w:type="dxa" w:w="4706"/>
            <w:shd w:val="clear" w:color="auto" w:fill="F2F6FA"/>
          </w:tcPr>
          <w:p>
            <w:r/>
            <w:r>
              <w:rPr>
                <w:rFonts w:ascii="Calibri" w:hAnsi="Calibri"/>
                <w:b/>
                <w:color w:val="2B2E33"/>
                <w:sz w:val="19"/>
              </w:rPr>
              <w:t>Chemical name</w:t>
            </w:r>
          </w:p>
        </w:tc>
        <w:tc>
          <w:tcPr>
            <w:tcW w:type="dxa" w:w="4706"/>
            <w:shd w:val="clear" w:color="auto" w:fill="F2F6FA"/>
          </w:tcPr>
          <w:p>
            <w:r/>
            <w:r>
              <w:rPr>
                <w:rFonts w:ascii="Calibri" w:hAnsi="Calibri"/>
                <w:color w:val="2B2E33"/>
                <w:sz w:val="19"/>
              </w:rPr>
              <w:t>Ethyl acetate</w:t>
            </w:r>
          </w:p>
        </w:tc>
      </w:tr>
      <w:tr>
        <w:tc>
          <w:tcPr>
            <w:tcW w:type="dxa" w:w="4706"/>
          </w:tcPr>
          <w:p>
            <w:r/>
            <w:r>
              <w:rPr>
                <w:rFonts w:ascii="Calibri" w:hAnsi="Calibri"/>
                <w:b/>
                <w:color w:val="2B2E33"/>
                <w:sz w:val="19"/>
              </w:rPr>
              <w:t>EC Index-No.</w:t>
            </w:r>
          </w:p>
        </w:tc>
        <w:tc>
          <w:tcPr>
            <w:tcW w:type="dxa" w:w="4706"/>
          </w:tcPr>
          <w:p>
            <w:r/>
            <w:r>
              <w:rPr>
                <w:rFonts w:ascii="Calibri" w:hAnsi="Calibri"/>
                <w:color w:val="2B2E33"/>
                <w:sz w:val="19"/>
              </w:rPr>
              <w:t>607-022-00-5</w:t>
            </w:r>
          </w:p>
        </w:tc>
      </w:tr>
      <w:tr>
        <w:tc>
          <w:tcPr>
            <w:tcW w:type="dxa" w:w="4706"/>
            <w:shd w:val="clear" w:color="auto" w:fill="F2F6FA"/>
          </w:tcPr>
          <w:p>
            <w:r/>
            <w:r>
              <w:rPr>
                <w:rFonts w:ascii="Calibri" w:hAnsi="Calibri"/>
                <w:b/>
                <w:color w:val="2B2E33"/>
                <w:sz w:val="19"/>
              </w:rPr>
              <w:t>EC-No.</w:t>
            </w:r>
          </w:p>
        </w:tc>
        <w:tc>
          <w:tcPr>
            <w:tcW w:type="dxa" w:w="4706"/>
            <w:shd w:val="clear" w:color="auto" w:fill="F2F6FA"/>
          </w:tcPr>
          <w:p>
            <w:r/>
            <w:r>
              <w:rPr>
                <w:rFonts w:ascii="Calibri" w:hAnsi="Calibri"/>
                <w:color w:val="2B2E33"/>
                <w:sz w:val="19"/>
              </w:rPr>
              <w:t>205-500-4</w:t>
            </w:r>
          </w:p>
        </w:tc>
      </w:tr>
      <w:tr>
        <w:tc>
          <w:tcPr>
            <w:tcW w:type="dxa" w:w="4706"/>
          </w:tcPr>
          <w:p>
            <w:r/>
            <w:r>
              <w:rPr>
                <w:rFonts w:ascii="Calibri" w:hAnsi="Calibri"/>
                <w:b/>
                <w:color w:val="2B2E33"/>
                <w:sz w:val="19"/>
              </w:rPr>
              <w:t>CAS-No.</w:t>
            </w:r>
          </w:p>
        </w:tc>
        <w:tc>
          <w:tcPr>
            <w:tcW w:type="dxa" w:w="4706"/>
          </w:tcPr>
          <w:p>
            <w:r/>
            <w:r>
              <w:rPr>
                <w:rFonts w:ascii="Calibri" w:hAnsi="Calibri"/>
                <w:color w:val="2B2E33"/>
                <w:sz w:val="19"/>
              </w:rPr>
              <w:t>141-78-6</w:t>
            </w:r>
          </w:p>
        </w:tc>
      </w:tr>
      <w:tr>
        <w:tc>
          <w:tcPr>
            <w:tcW w:type="dxa" w:w="4706"/>
            <w:shd w:val="clear" w:color="auto" w:fill="F2F6FA"/>
          </w:tcPr>
          <w:p>
            <w:r/>
            <w:r>
              <w:rPr>
                <w:rFonts w:ascii="Calibri" w:hAnsi="Calibri"/>
                <w:b/>
                <w:color w:val="2B2E33"/>
                <w:sz w:val="19"/>
              </w:rPr>
              <w:t>REACH registration No.</w:t>
            </w:r>
          </w:p>
        </w:tc>
        <w:tc>
          <w:tcPr>
            <w:tcW w:type="dxa" w:w="4706"/>
            <w:shd w:val="clear" w:color="auto" w:fill="F2F6FA"/>
          </w:tcPr>
          <w:p>
            <w:r/>
            <w:r>
              <w:rPr>
                <w:rFonts w:ascii="Calibri" w:hAnsi="Calibri"/>
                <w:color w:val="2B2E33"/>
                <w:sz w:val="19"/>
              </w:rPr>
              <w:t>01-2119475103-46-XXXX</w:t>
            </w:r>
          </w:p>
        </w:tc>
      </w:tr>
      <w:tr>
        <w:tc>
          <w:tcPr>
            <w:tcW w:type="dxa" w:w="4706"/>
          </w:tcPr>
          <w:p>
            <w:r/>
            <w:r>
              <w:rPr>
                <w:rFonts w:ascii="Calibri" w:hAnsi="Calibri"/>
                <w:b/>
                <w:color w:val="2B2E33"/>
                <w:sz w:val="19"/>
              </w:rPr>
              <w:t>Molecular formula</w:t>
            </w:r>
          </w:p>
        </w:tc>
        <w:tc>
          <w:tcPr>
            <w:tcW w:type="dxa" w:w="4706"/>
          </w:tcPr>
          <w:p>
            <w:r/>
            <w:r>
              <w:rPr>
                <w:rFonts w:ascii="Calibri" w:hAnsi="Calibri"/>
                <w:color w:val="2B2E33"/>
                <w:sz w:val="19"/>
              </w:rPr>
              <w:t>C₄H₈O₂</w:t>
            </w:r>
          </w:p>
        </w:tc>
      </w:tr>
    </w:tbl>
    <w:p>
      <w:pPr>
        <w:spacing w:before="160" w:after="80"/>
      </w:pPr>
      <w:r>
        <w:rPr>
          <w:rFonts w:ascii="Calibri" w:hAnsi="Calibri"/>
          <w:b/>
          <w:color w:val="2B2E33"/>
          <w:sz w:val="22"/>
        </w:rPr>
        <w:t>1.2 Relevant identified uses and uses advised against</w:t>
      </w:r>
    </w:p>
    <w:p>
      <w:pPr>
        <w:spacing w:before="0" w:after="80"/>
      </w:pPr>
      <w:r>
        <w:rPr>
          <w:rFonts w:ascii="Calibri" w:hAnsi="Calibri"/>
          <w:b/>
          <w:sz w:val="20"/>
        </w:rPr>
        <w:t>Use of the substance/mixture: Industrial use</w:t>
      </w:r>
    </w:p>
    <w:p>
      <w:pPr>
        <w:spacing w:before="0" w:after="80"/>
      </w:pPr>
      <w:r>
        <w:rPr>
          <w:rFonts w:ascii="Calibri" w:hAnsi="Calibri"/>
          <w:b w:val="0"/>
          <w:sz w:val="20"/>
        </w:rPr>
        <w:t>Restrictions on use: No data available</w:t>
      </w:r>
    </w:p>
    <w:p>
      <w:pPr>
        <w:spacing w:before="160" w:after="80"/>
      </w:pPr>
      <w:r>
        <w:rPr>
          <w:rFonts w:ascii="Calibri" w:hAnsi="Calibri"/>
          <w:b/>
          <w:color w:val="2B2E33"/>
          <w:sz w:val="22"/>
        </w:rPr>
        <w:t>1.3 Details of the supplier of the safety data sheet</w:t>
      </w:r>
    </w:p>
    <w:tbl>
      <w:tblPr>
        <w:tblStyle w:val="TableGrid"/>
        <w:tblW w:type="auto" w:w="0"/>
        <w:tblLook w:firstColumn="1" w:firstRow="1" w:lastColumn="0" w:lastRow="0" w:noHBand="0" w:noVBand="1" w:val="04A0"/>
      </w:tblPr>
      <w:tblGrid>
        <w:gridCol w:w="4706"/>
        <w:gridCol w:w="4706"/>
      </w:tblGrid>
      <w:tr>
        <w:tc>
          <w:tcPr>
            <w:tcW w:type="dxa" w:w="4706"/>
            <w:shd w:val="clear" w:color="auto" w:fill="004C98"/>
          </w:tcPr>
          <w:p>
            <w:r/>
            <w:r>
              <w:rPr>
                <w:rFonts w:ascii="Calibri" w:hAnsi="Calibri"/>
                <w:b/>
                <w:color w:val="FFFFFF"/>
                <w:sz w:val="19"/>
              </w:rPr>
              <w:t>Field</w:t>
            </w:r>
          </w:p>
        </w:tc>
        <w:tc>
          <w:tcPr>
            <w:tcW w:type="dxa" w:w="4706"/>
            <w:shd w:val="clear" w:color="auto" w:fill="004C98"/>
          </w:tcPr>
          <w:p>
            <w:r/>
            <w:r>
              <w:rPr>
                <w:rFonts w:ascii="Calibri" w:hAnsi="Calibri"/>
                <w:b/>
                <w:color w:val="FFFFFF"/>
                <w:sz w:val="19"/>
              </w:rPr>
              <w:t>Details</w:t>
            </w:r>
          </w:p>
        </w:tc>
      </w:tr>
      <w:tr>
        <w:tc>
          <w:tcPr>
            <w:tcW w:type="dxa" w:w="4706"/>
          </w:tcPr>
          <w:p>
            <w:r/>
            <w:r>
              <w:rPr>
                <w:rFonts w:ascii="Calibri" w:hAnsi="Calibri"/>
                <w:b/>
                <w:color w:val="2B2E33"/>
                <w:sz w:val="19"/>
              </w:rPr>
              <w:t>Company</w:t>
            </w:r>
          </w:p>
        </w:tc>
        <w:tc>
          <w:tcPr>
            <w:tcW w:type="dxa" w:w="4706"/>
          </w:tcPr>
          <w:p>
            <w:r/>
            <w:r>
              <w:rPr>
                <w:rFonts w:ascii="Calibri" w:hAnsi="Calibri"/>
                <w:color w:val="2B2E33"/>
                <w:sz w:val="19"/>
              </w:rPr>
              <w:t>Synthesia Ltd.</w:t>
            </w:r>
          </w:p>
        </w:tc>
      </w:tr>
      <w:tr>
        <w:tc>
          <w:tcPr>
            <w:tcW w:type="dxa" w:w="4706"/>
            <w:shd w:val="clear" w:color="auto" w:fill="F2F6FA"/>
          </w:tcPr>
          <w:p>
            <w:r/>
            <w:r>
              <w:rPr>
                <w:rFonts w:ascii="Calibri" w:hAnsi="Calibri"/>
                <w:b/>
                <w:color w:val="2B2E33"/>
                <w:sz w:val="19"/>
              </w:rPr>
              <w:t>Address</w:t>
            </w:r>
          </w:p>
        </w:tc>
        <w:tc>
          <w:tcPr>
            <w:tcW w:type="dxa" w:w="4706"/>
            <w:shd w:val="clear" w:color="auto" w:fill="F2F6FA"/>
          </w:tcPr>
          <w:p>
            <w:r/>
            <w:r>
              <w:rPr>
                <w:rFonts w:ascii="Calibri" w:hAnsi="Calibri"/>
                <w:color w:val="2B2E33"/>
                <w:sz w:val="19"/>
              </w:rPr>
              <w:t>Todor Radunchev 9, Krivina 1588, Bulgaria</w:t>
            </w:r>
          </w:p>
        </w:tc>
      </w:tr>
      <w:tr>
        <w:tc>
          <w:tcPr>
            <w:tcW w:type="dxa" w:w="4706"/>
          </w:tcPr>
          <w:p>
            <w:r/>
            <w:r>
              <w:rPr>
                <w:rFonts w:ascii="Calibri" w:hAnsi="Calibri"/>
                <w:b/>
                <w:color w:val="2B2E33"/>
                <w:sz w:val="19"/>
              </w:rPr>
              <w:t>VAT</w:t>
            </w:r>
          </w:p>
        </w:tc>
        <w:tc>
          <w:tcPr>
            <w:tcW w:type="dxa" w:w="4706"/>
          </w:tcPr>
          <w:p>
            <w:r/>
            <w:r>
              <w:rPr>
                <w:rFonts w:ascii="Calibri" w:hAnsi="Calibri"/>
                <w:color w:val="2B2E33"/>
                <w:sz w:val="19"/>
              </w:rPr>
              <w:t>BG121306542</w:t>
            </w:r>
          </w:p>
        </w:tc>
      </w:tr>
      <w:tr>
        <w:tc>
          <w:tcPr>
            <w:tcW w:type="dxa" w:w="4706"/>
            <w:shd w:val="clear" w:color="auto" w:fill="F2F6FA"/>
          </w:tcPr>
          <w:p>
            <w:r/>
            <w:r>
              <w:rPr>
                <w:rFonts w:ascii="Calibri" w:hAnsi="Calibri"/>
                <w:b/>
                <w:color w:val="2B2E33"/>
                <w:sz w:val="19"/>
              </w:rPr>
              <w:t>Phone</w:t>
            </w:r>
          </w:p>
        </w:tc>
        <w:tc>
          <w:tcPr>
            <w:tcW w:type="dxa" w:w="4706"/>
            <w:shd w:val="clear" w:color="auto" w:fill="F2F6FA"/>
          </w:tcPr>
          <w:p>
            <w:r/>
            <w:r>
              <w:rPr>
                <w:rFonts w:ascii="Calibri" w:hAnsi="Calibri"/>
                <w:color w:val="2B2E33"/>
                <w:sz w:val="19"/>
              </w:rPr>
              <w:t>+359 2 974 4968</w:t>
            </w:r>
          </w:p>
        </w:tc>
      </w:tr>
      <w:tr>
        <w:tc>
          <w:tcPr>
            <w:tcW w:type="dxa" w:w="4706"/>
          </w:tcPr>
          <w:p>
            <w:r/>
            <w:r>
              <w:rPr>
                <w:rFonts w:ascii="Calibri" w:hAnsi="Calibri"/>
                <w:b/>
                <w:color w:val="2B2E33"/>
                <w:sz w:val="19"/>
              </w:rPr>
              <w:t>Email</w:t>
            </w:r>
          </w:p>
        </w:tc>
        <w:tc>
          <w:tcPr>
            <w:tcW w:type="dxa" w:w="4706"/>
          </w:tcPr>
          <w:p>
            <w:r/>
            <w:r>
              <w:rPr>
                <w:rFonts w:ascii="Calibri" w:hAnsi="Calibri"/>
                <w:color w:val="2B2E33"/>
                <w:sz w:val="19"/>
              </w:rPr>
              <w:t>office@synthesia.bg</w:t>
            </w:r>
          </w:p>
        </w:tc>
      </w:tr>
    </w:tbl>
    <w:p>
      <w:pPr>
        <w:spacing w:before="160" w:after="80"/>
      </w:pPr>
      <w:r>
        <w:rPr>
          <w:rFonts w:ascii="Calibri" w:hAnsi="Calibri"/>
          <w:b/>
          <w:color w:val="2B2E33"/>
          <w:sz w:val="22"/>
        </w:rPr>
        <w:t>1.4 Emergency telephone number</w:t>
      </w:r>
    </w:p>
    <w:p>
      <w:pPr>
        <w:spacing w:before="0" w:after="80"/>
      </w:pPr>
      <w:r>
        <w:rPr>
          <w:rFonts w:ascii="Calibri" w:hAnsi="Calibri"/>
          <w:b w:val="0"/>
          <w:sz w:val="20"/>
        </w:rPr>
        <w:t>Emergency number: 112</w:t>
      </w:r>
    </w:p>
    <w:p>
      <w:pPr>
        <w:spacing w:before="200" w:after="120"/>
        <w:ind w:left="144"/>
        <w:pBdr>
          <w:left w:val="single" w:sz="24" w:color="0071B8" w:space="8"/>
        </w:pBdr>
      </w:pPr>
      <w:r>
        <w:rPr>
          <w:rFonts w:ascii="Calibri" w:hAnsi="Calibri"/>
          <w:b/>
          <w:color w:val="2B2E33"/>
          <w:sz w:val="26"/>
        </w:rPr>
        <w:t xml:space="preserve">  SECTION 2: Hazards identification</w:t>
      </w:r>
    </w:p>
    <w:p>
      <w:pPr>
        <w:spacing w:before="160" w:after="80"/>
      </w:pPr>
      <w:r>
        <w:rPr>
          <w:rFonts w:ascii="Calibri" w:hAnsi="Calibri"/>
          <w:b/>
          <w:color w:val="2B2E33"/>
          <w:sz w:val="22"/>
        </w:rPr>
        <w:t>2.1 Classification of the substance or mixture</w:t>
      </w:r>
    </w:p>
    <w:p>
      <w:pPr>
        <w:spacing w:before="0" w:after="80"/>
      </w:pPr>
      <w:r>
        <w:rPr>
          <w:rFonts w:ascii="Calibri" w:hAnsi="Calibri"/>
          <w:b w:val="0"/>
          <w:sz w:val="19"/>
        </w:rPr>
        <w:t>Classification according to Regulation (EC) No. 1272/2008 [CLP] as amended by EU 2024/2865:</w:t>
      </w:r>
    </w:p>
    <w:tbl>
      <w:tblPr>
        <w:tblStyle w:val="TableGrid"/>
        <w:tblW w:type="auto" w:w="0"/>
        <w:tblLook w:firstColumn="1" w:firstRow="1" w:lastColumn="0" w:lastRow="0" w:noHBand="0" w:noVBand="1" w:val="04A0"/>
      </w:tblPr>
      <w:tblGrid>
        <w:gridCol w:w="3137"/>
        <w:gridCol w:w="3137"/>
        <w:gridCol w:w="3137"/>
      </w:tblGrid>
      <w:tr>
        <w:tc>
          <w:tcPr>
            <w:tcW w:type="dxa" w:w="3137"/>
            <w:shd w:val="clear" w:color="auto" w:fill="004C98"/>
          </w:tcPr>
          <w:p>
            <w:r/>
            <w:r>
              <w:rPr>
                <w:rFonts w:ascii="Calibri" w:hAnsi="Calibri"/>
                <w:b/>
                <w:color w:val="FFFFFF"/>
                <w:sz w:val="19"/>
              </w:rPr>
              <w:t>Hazard class</w:t>
            </w:r>
          </w:p>
        </w:tc>
        <w:tc>
          <w:tcPr>
            <w:tcW w:type="dxa" w:w="3137"/>
            <w:shd w:val="clear" w:color="auto" w:fill="004C98"/>
          </w:tcPr>
          <w:p>
            <w:r/>
            <w:r>
              <w:rPr>
                <w:rFonts w:ascii="Calibri" w:hAnsi="Calibri"/>
                <w:b/>
                <w:color w:val="FFFFFF"/>
                <w:sz w:val="19"/>
              </w:rPr>
              <w:t>Category</w:t>
            </w:r>
          </w:p>
        </w:tc>
        <w:tc>
          <w:tcPr>
            <w:tcW w:type="dxa" w:w="3137"/>
            <w:shd w:val="clear" w:color="auto" w:fill="004C98"/>
          </w:tcPr>
          <w:p>
            <w:r/>
            <w:r>
              <w:rPr>
                <w:rFonts w:ascii="Calibri" w:hAnsi="Calibri"/>
                <w:b/>
                <w:color w:val="FFFFFF"/>
                <w:sz w:val="19"/>
              </w:rPr>
              <w:t>Hazard statement</w:t>
            </w:r>
          </w:p>
        </w:tc>
      </w:tr>
      <w:tr>
        <w:tc>
          <w:tcPr>
            <w:tcW w:type="dxa" w:w="3137"/>
          </w:tcPr>
          <w:p>
            <w:r/>
            <w:r>
              <w:rPr>
                <w:rFonts w:ascii="Calibri" w:hAnsi="Calibri"/>
                <w:b/>
                <w:color w:val="2B2E33"/>
                <w:sz w:val="19"/>
              </w:rPr>
              <w:t>Flammable liquids</w:t>
            </w:r>
          </w:p>
        </w:tc>
        <w:tc>
          <w:tcPr>
            <w:tcW w:type="dxa" w:w="3137"/>
          </w:tcPr>
          <w:p>
            <w:r/>
            <w:r>
              <w:rPr>
                <w:rFonts w:ascii="Calibri" w:hAnsi="Calibri"/>
                <w:color w:val="2B2E33"/>
                <w:sz w:val="19"/>
              </w:rPr>
              <w:t>Category 2</w:t>
            </w:r>
          </w:p>
        </w:tc>
        <w:tc>
          <w:tcPr>
            <w:tcW w:type="dxa" w:w="3137"/>
          </w:tcPr>
          <w:p>
            <w:r/>
            <w:r>
              <w:rPr>
                <w:rFonts w:ascii="Calibri" w:hAnsi="Calibri"/>
                <w:color w:val="2B2E33"/>
                <w:sz w:val="19"/>
              </w:rPr>
              <w:t>H225 — Highly flammable liquid and vapour</w:t>
            </w:r>
          </w:p>
        </w:tc>
      </w:tr>
      <w:tr>
        <w:tc>
          <w:tcPr>
            <w:tcW w:type="dxa" w:w="3137"/>
            <w:shd w:val="clear" w:color="auto" w:fill="F2F6FA"/>
          </w:tcPr>
          <w:p>
            <w:r/>
            <w:r>
              <w:rPr>
                <w:rFonts w:ascii="Calibri" w:hAnsi="Calibri"/>
                <w:b/>
                <w:color w:val="2B2E33"/>
                <w:sz w:val="19"/>
              </w:rPr>
              <w:t>Serious eye damage/eye irritation</w:t>
            </w:r>
          </w:p>
        </w:tc>
        <w:tc>
          <w:tcPr>
            <w:tcW w:type="dxa" w:w="3137"/>
            <w:shd w:val="clear" w:color="auto" w:fill="F2F6FA"/>
          </w:tcPr>
          <w:p>
            <w:r/>
            <w:r>
              <w:rPr>
                <w:rFonts w:ascii="Calibri" w:hAnsi="Calibri"/>
                <w:color w:val="2B2E33"/>
                <w:sz w:val="19"/>
              </w:rPr>
              <w:t>Category 2</w:t>
            </w:r>
          </w:p>
        </w:tc>
        <w:tc>
          <w:tcPr>
            <w:tcW w:type="dxa" w:w="3137"/>
            <w:shd w:val="clear" w:color="auto" w:fill="F2F6FA"/>
          </w:tcPr>
          <w:p>
            <w:r/>
            <w:r>
              <w:rPr>
                <w:rFonts w:ascii="Calibri" w:hAnsi="Calibri"/>
                <w:color w:val="2B2E33"/>
                <w:sz w:val="19"/>
              </w:rPr>
              <w:t>H319 — Causes serious eye irritation</w:t>
            </w:r>
          </w:p>
        </w:tc>
      </w:tr>
      <w:tr>
        <w:tc>
          <w:tcPr>
            <w:tcW w:type="dxa" w:w="3137"/>
          </w:tcPr>
          <w:p>
            <w:r/>
            <w:r>
              <w:rPr>
                <w:rFonts w:ascii="Calibri" w:hAnsi="Calibri"/>
                <w:b/>
                <w:color w:val="2B2E33"/>
                <w:sz w:val="19"/>
              </w:rPr>
              <w:t>Specific target organ toxicity — Single exposure</w:t>
            </w:r>
          </w:p>
        </w:tc>
        <w:tc>
          <w:tcPr>
            <w:tcW w:type="dxa" w:w="3137"/>
          </w:tcPr>
          <w:p>
            <w:r/>
            <w:r>
              <w:rPr>
                <w:rFonts w:ascii="Calibri" w:hAnsi="Calibri"/>
                <w:color w:val="2B2E33"/>
                <w:sz w:val="19"/>
              </w:rPr>
              <w:t>Category 3 (Narcosis)</w:t>
            </w:r>
          </w:p>
        </w:tc>
        <w:tc>
          <w:tcPr>
            <w:tcW w:type="dxa" w:w="3137"/>
          </w:tcPr>
          <w:p>
            <w:r/>
            <w:r>
              <w:rPr>
                <w:rFonts w:ascii="Calibri" w:hAnsi="Calibri"/>
                <w:color w:val="2B2E33"/>
                <w:sz w:val="19"/>
              </w:rPr>
              <w:t>H336 — May cause drowsiness or dizziness</w:t>
            </w:r>
          </w:p>
        </w:tc>
      </w:tr>
    </w:tbl>
    <w:p>
      <w:pPr>
        <w:spacing w:before="0" w:after="80"/>
      </w:pPr>
      <w:r>
        <w:rPr>
          <w:rFonts w:ascii="Calibri" w:hAnsi="Calibri"/>
          <w:b w:val="0"/>
          <w:color w:val="5B6670"/>
          <w:sz w:val="18"/>
        </w:rPr>
        <w:t>Full text of H-statements: see Section 16.</w:t>
      </w:r>
    </w:p>
    <w:p>
      <w:pPr>
        <w:spacing w:before="160" w:after="80"/>
      </w:pPr>
      <w:r>
        <w:rPr>
          <w:rFonts w:ascii="Calibri" w:hAnsi="Calibri"/>
          <w:b/>
          <w:color w:val="2B2E33"/>
          <w:sz w:val="22"/>
        </w:rPr>
        <w:t>2.2 Label elements</w:t>
      </w:r>
    </w:p>
    <w:tbl>
      <w:tblPr>
        <w:tblStyle w:val="TableGrid"/>
        <w:tblW w:type="auto" w:w="0"/>
        <w:tblLook w:firstColumn="1" w:firstRow="1" w:lastColumn="0" w:lastRow="0" w:noHBand="0" w:noVBand="1" w:val="04A0"/>
      </w:tblPr>
      <w:tblGrid>
        <w:gridCol w:w="4706"/>
        <w:gridCol w:w="4706"/>
      </w:tblGrid>
      <w:tr>
        <w:tc>
          <w:tcPr>
            <w:tcW w:type="dxa" w:w="4706"/>
            <w:shd w:val="clear" w:color="auto" w:fill="004C98"/>
          </w:tcPr>
          <w:p>
            <w:r/>
            <w:r>
              <w:rPr>
                <w:rFonts w:ascii="Calibri" w:hAnsi="Calibri"/>
                <w:b/>
                <w:color w:val="FFFFFF"/>
                <w:sz w:val="19"/>
              </w:rPr>
              <w:t>Element</w:t>
            </w:r>
          </w:p>
        </w:tc>
        <w:tc>
          <w:tcPr>
            <w:tcW w:type="dxa" w:w="4706"/>
            <w:shd w:val="clear" w:color="auto" w:fill="004C98"/>
          </w:tcPr>
          <w:p>
            <w:r/>
            <w:r>
              <w:rPr>
                <w:rFonts w:ascii="Calibri" w:hAnsi="Calibri"/>
                <w:b/>
                <w:color w:val="FFFFFF"/>
                <w:sz w:val="19"/>
              </w:rPr>
              <w:t>Details</w:t>
            </w:r>
          </w:p>
        </w:tc>
      </w:tr>
      <w:tr>
        <w:tc>
          <w:tcPr>
            <w:tcW w:type="dxa" w:w="4706"/>
          </w:tcPr>
          <w:p>
            <w:r/>
            <w:r>
              <w:rPr>
                <w:rFonts w:ascii="Calibri" w:hAnsi="Calibri"/>
                <w:b/>
                <w:color w:val="2B2E33"/>
                <w:sz w:val="19"/>
              </w:rPr>
              <w:t>Hazard pictograms</w:t>
            </w:r>
          </w:p>
        </w:tc>
        <w:tc>
          <w:tcPr>
            <w:tcW w:type="dxa" w:w="4706"/>
          </w:tcPr>
          <w:p>
            <w:r/>
            <w:r>
              <w:rPr>
                <w:rFonts w:ascii="Calibri" w:hAnsi="Calibri"/>
                <w:color w:val="2B2E33"/>
                <w:sz w:val="19"/>
              </w:rPr>
              <w:t>GHS02 (Flame) · GHS07 (Exclamation mark)</w:t>
            </w:r>
          </w:p>
        </w:tc>
      </w:tr>
      <w:tr>
        <w:tc>
          <w:tcPr>
            <w:tcW w:type="dxa" w:w="4706"/>
            <w:shd w:val="clear" w:color="auto" w:fill="F2F6FA"/>
          </w:tcPr>
          <w:p>
            <w:r/>
            <w:r>
              <w:rPr>
                <w:rFonts w:ascii="Calibri" w:hAnsi="Calibri"/>
                <w:b/>
                <w:color w:val="2B2E33"/>
                <w:sz w:val="19"/>
              </w:rPr>
              <w:t>Signal word</w:t>
            </w:r>
          </w:p>
        </w:tc>
        <w:tc>
          <w:tcPr>
            <w:tcW w:type="dxa" w:w="4706"/>
            <w:shd w:val="clear" w:color="auto" w:fill="F2F6FA"/>
          </w:tcPr>
          <w:p>
            <w:r/>
            <w:r>
              <w:rPr>
                <w:rFonts w:ascii="Calibri" w:hAnsi="Calibri"/>
                <w:color w:val="2B2E33"/>
                <w:sz w:val="19"/>
              </w:rPr>
              <w:t>DANGER</w:t>
            </w:r>
          </w:p>
        </w:tc>
      </w:tr>
      <w:tr>
        <w:tc>
          <w:tcPr>
            <w:tcW w:type="dxa" w:w="4706"/>
          </w:tcPr>
          <w:p>
            <w:r/>
            <w:r>
              <w:rPr>
                <w:rFonts w:ascii="Calibri" w:hAnsi="Calibri"/>
                <w:b/>
                <w:color w:val="2B2E33"/>
                <w:sz w:val="19"/>
              </w:rPr>
              <w:t>Hazard statements</w:t>
            </w:r>
          </w:p>
        </w:tc>
        <w:tc>
          <w:tcPr>
            <w:tcW w:type="dxa" w:w="4706"/>
          </w:tcPr>
          <w:p>
            <w:r/>
            <w:r>
              <w:rPr>
                <w:rFonts w:ascii="Calibri" w:hAnsi="Calibri"/>
                <w:color w:val="2B2E33"/>
                <w:sz w:val="19"/>
              </w:rPr>
              <w:t>H225 — Highly flammable liquid and vapour.</w:t>
              <w:br/>
              <w:t>H319 — Causes serious eye irritation.</w:t>
              <w:br/>
              <w:t>H336 — May cause drowsiness or dizziness.</w:t>
            </w:r>
          </w:p>
        </w:tc>
      </w:tr>
      <w:tr>
        <w:tc>
          <w:tcPr>
            <w:tcW w:type="dxa" w:w="4706"/>
            <w:shd w:val="clear" w:color="auto" w:fill="F2F6FA"/>
          </w:tcPr>
          <w:p>
            <w:r/>
            <w:r>
              <w:rPr>
                <w:rFonts w:ascii="Calibri" w:hAnsi="Calibri"/>
                <w:b/>
                <w:color w:val="2B2E33"/>
                <w:sz w:val="19"/>
              </w:rPr>
              <w:t>Precautionary statements</w:t>
            </w:r>
          </w:p>
        </w:tc>
        <w:tc>
          <w:tcPr>
            <w:tcW w:type="dxa" w:w="4706"/>
            <w:shd w:val="clear" w:color="auto" w:fill="F2F6FA"/>
          </w:tcPr>
          <w:p>
            <w:r/>
            <w:r>
              <w:rPr>
                <w:rFonts w:ascii="Calibri" w:hAnsi="Calibri"/>
                <w:color w:val="2B2E33"/>
                <w:sz w:val="19"/>
              </w:rPr>
              <w:t>P210 — Keep away from heat, hot surfaces, sparks, open flames and other ignition sources. No smoking.</w:t>
              <w:br/>
              <w:t>P280 — Wear protective gloves/protective clothing/eye protection/face protection.</w:t>
              <w:br/>
              <w:t>P304+P340 — IF INHALED: Remove person to fresh air and keep comfortable for breathing.</w:t>
              <w:br/>
              <w:t>P305+P351+P338 — IF IN EYES: Rinse cautiously with water for several minutes. Remove contact lenses, if present and easy to do. Continue rinsing.</w:t>
              <w:br/>
              <w:t>P337+P313 — If eye irritation persists: Get medical advice/attention.</w:t>
              <w:br/>
              <w:t>P403+P233 — Store in a well-ventilated place. Keep container tightly closed.</w:t>
            </w:r>
          </w:p>
        </w:tc>
      </w:tr>
      <w:tr>
        <w:tc>
          <w:tcPr>
            <w:tcW w:type="dxa" w:w="4706"/>
          </w:tcPr>
          <w:p>
            <w:r/>
            <w:r>
              <w:rPr>
                <w:rFonts w:ascii="Calibri" w:hAnsi="Calibri"/>
                <w:b/>
                <w:color w:val="2B2E33"/>
                <w:sz w:val="19"/>
              </w:rPr>
              <w:t>EUH-statements</w:t>
            </w:r>
          </w:p>
        </w:tc>
        <w:tc>
          <w:tcPr>
            <w:tcW w:type="dxa" w:w="4706"/>
          </w:tcPr>
          <w:p>
            <w:r/>
            <w:r>
              <w:rPr>
                <w:rFonts w:ascii="Calibri" w:hAnsi="Calibri"/>
                <w:color w:val="2B2E33"/>
                <w:sz w:val="19"/>
              </w:rPr>
              <w:t>EUH066 — Repeated exposure may cause skin dryness or cracking.</w:t>
            </w:r>
          </w:p>
        </w:tc>
      </w:tr>
    </w:tbl>
    <w:p>
      <w:pPr>
        <w:spacing w:before="160" w:after="80"/>
      </w:pPr>
      <w:r>
        <w:rPr>
          <w:rFonts w:ascii="Calibri" w:hAnsi="Calibri"/>
          <w:b/>
          <w:color w:val="2B2E33"/>
          <w:sz w:val="22"/>
        </w:rPr>
        <w:t>2.3 Other hazards</w:t>
      </w:r>
    </w:p>
    <w:p>
      <w:pPr>
        <w:spacing w:before="0" w:after="80"/>
      </w:pPr>
      <w:r>
        <w:rPr>
          <w:rFonts w:ascii="Calibri" w:hAnsi="Calibri"/>
          <w:b w:val="0"/>
          <w:sz w:val="20"/>
        </w:rPr>
        <w:t>This substance does not contain components considered to be PBT, vPvB, PMT, or vPvM at levels of 0.1% or higher, in accordance with the criteria of CLP Regulation as amended by EU 2024/2865 and REACH Annex XIII.</w:t>
      </w:r>
    </w:p>
    <w:p>
      <w:pPr>
        <w:spacing w:before="0" w:after="80"/>
      </w:pPr>
      <w:r>
        <w:rPr>
          <w:rFonts w:ascii="Calibri" w:hAnsi="Calibri"/>
          <w:b w:val="0"/>
          <w:sz w:val="20"/>
        </w:rPr>
        <w:t>Not classified as an endocrine disruptor (ED) according to CLP 2024/2865, Commission Delegated Regulation (EU) 2017/2100, or Commission Regulation (EU) 2018/605.</w:t>
      </w:r>
    </w:p>
    <w:p>
      <w:pPr>
        <w:spacing w:before="0" w:after="80"/>
      </w:pPr>
      <w:r>
        <w:rPr>
          <w:rFonts w:ascii="Calibri" w:hAnsi="Calibri"/>
          <w:b/>
          <w:sz w:val="20"/>
        </w:rPr>
        <w:t>Vapours may form explosive mixture with air.</w:t>
      </w:r>
    </w:p>
    <w:p>
      <w:pPr>
        <w:spacing w:before="200" w:after="120"/>
        <w:ind w:left="144"/>
        <w:pBdr>
          <w:left w:val="single" w:sz="24" w:color="0071B8" w:space="8"/>
        </w:pBdr>
      </w:pPr>
      <w:r>
        <w:rPr>
          <w:rFonts w:ascii="Calibri" w:hAnsi="Calibri"/>
          <w:b/>
          <w:color w:val="2B2E33"/>
          <w:sz w:val="26"/>
        </w:rPr>
        <w:t xml:space="preserve">  SECTION 3: Composition/information on ingredients</w:t>
      </w:r>
    </w:p>
    <w:p>
      <w:pPr>
        <w:spacing w:before="160" w:after="80"/>
      </w:pPr>
      <w:r>
        <w:rPr>
          <w:rFonts w:ascii="Calibri" w:hAnsi="Calibri"/>
          <w:b/>
          <w:color w:val="2B2E33"/>
          <w:sz w:val="22"/>
        </w:rPr>
        <w:t>3.1 Substances</w:t>
      </w:r>
    </w:p>
    <w:tbl>
      <w:tblPr>
        <w:tblStyle w:val="TableGrid"/>
        <w:tblW w:type="auto" w:w="0"/>
        <w:tblLook w:firstColumn="1" w:firstRow="1" w:lastColumn="0" w:lastRow="0" w:noHBand="0" w:noVBand="1" w:val="04A0"/>
      </w:tblPr>
      <w:tblGrid>
        <w:gridCol w:w="1569"/>
        <w:gridCol w:w="1569"/>
        <w:gridCol w:w="1569"/>
        <w:gridCol w:w="1569"/>
        <w:gridCol w:w="1569"/>
        <w:gridCol w:w="1569"/>
      </w:tblGrid>
      <w:tr>
        <w:tc>
          <w:tcPr>
            <w:tcW w:type="dxa" w:w="1569"/>
            <w:shd w:val="clear" w:color="auto" w:fill="004C98"/>
          </w:tcPr>
          <w:p>
            <w:r/>
            <w:r>
              <w:rPr>
                <w:rFonts w:ascii="Calibri" w:hAnsi="Calibri"/>
                <w:b/>
                <w:color w:val="FFFFFF"/>
                <w:sz w:val="19"/>
              </w:rPr>
              <w:t>Component</w:t>
            </w:r>
          </w:p>
        </w:tc>
        <w:tc>
          <w:tcPr>
            <w:tcW w:type="dxa" w:w="1569"/>
            <w:shd w:val="clear" w:color="auto" w:fill="004C98"/>
          </w:tcPr>
          <w:p>
            <w:r/>
            <w:r>
              <w:rPr>
                <w:rFonts w:ascii="Calibri" w:hAnsi="Calibri"/>
                <w:b/>
                <w:color w:val="FFFFFF"/>
                <w:sz w:val="19"/>
              </w:rPr>
              <w:t>CAS-No.</w:t>
            </w:r>
          </w:p>
        </w:tc>
        <w:tc>
          <w:tcPr>
            <w:tcW w:type="dxa" w:w="1569"/>
            <w:shd w:val="clear" w:color="auto" w:fill="004C98"/>
          </w:tcPr>
          <w:p>
            <w:r/>
            <w:r>
              <w:rPr>
                <w:rFonts w:ascii="Calibri" w:hAnsi="Calibri"/>
                <w:b/>
                <w:color w:val="FFFFFF"/>
                <w:sz w:val="19"/>
              </w:rPr>
              <w:t>EC-No.</w:t>
            </w:r>
          </w:p>
        </w:tc>
        <w:tc>
          <w:tcPr>
            <w:tcW w:type="dxa" w:w="1569"/>
            <w:shd w:val="clear" w:color="auto" w:fill="004C98"/>
          </w:tcPr>
          <w:p>
            <w:r/>
            <w:r>
              <w:rPr>
                <w:rFonts w:ascii="Calibri" w:hAnsi="Calibri"/>
                <w:b/>
                <w:color w:val="FFFFFF"/>
                <w:sz w:val="19"/>
              </w:rPr>
              <w:t>Index-No.</w:t>
            </w:r>
          </w:p>
        </w:tc>
        <w:tc>
          <w:tcPr>
            <w:tcW w:type="dxa" w:w="1569"/>
            <w:shd w:val="clear" w:color="auto" w:fill="004C98"/>
          </w:tcPr>
          <w:p>
            <w:r/>
            <w:r>
              <w:rPr>
                <w:rFonts w:ascii="Calibri" w:hAnsi="Calibri"/>
                <w:b/>
                <w:color w:val="FFFFFF"/>
                <w:sz w:val="19"/>
              </w:rPr>
              <w:t>Classification</w:t>
            </w:r>
          </w:p>
        </w:tc>
        <w:tc>
          <w:tcPr>
            <w:tcW w:type="dxa" w:w="1569"/>
            <w:shd w:val="clear" w:color="auto" w:fill="004C98"/>
          </w:tcPr>
          <w:p>
            <w:r/>
            <w:r>
              <w:rPr>
                <w:rFonts w:ascii="Calibri" w:hAnsi="Calibri"/>
                <w:b/>
                <w:color w:val="FFFFFF"/>
                <w:sz w:val="19"/>
              </w:rPr>
              <w:t>Conc.</w:t>
            </w:r>
          </w:p>
        </w:tc>
      </w:tr>
      <w:tr>
        <w:tc>
          <w:tcPr>
            <w:tcW w:type="dxa" w:w="1569"/>
          </w:tcPr>
          <w:p>
            <w:r/>
            <w:r>
              <w:rPr>
                <w:rFonts w:ascii="Calibri" w:hAnsi="Calibri"/>
                <w:b/>
                <w:color w:val="2B2E33"/>
                <w:sz w:val="19"/>
              </w:rPr>
              <w:t>Ethyl acetate</w:t>
            </w:r>
          </w:p>
        </w:tc>
        <w:tc>
          <w:tcPr>
            <w:tcW w:type="dxa" w:w="1569"/>
          </w:tcPr>
          <w:p>
            <w:r/>
            <w:r>
              <w:rPr>
                <w:rFonts w:ascii="Calibri" w:hAnsi="Calibri"/>
                <w:color w:val="2B2E33"/>
                <w:sz w:val="19"/>
              </w:rPr>
              <w:t>141-78-6</w:t>
            </w:r>
          </w:p>
        </w:tc>
        <w:tc>
          <w:tcPr>
            <w:tcW w:type="dxa" w:w="1569"/>
          </w:tcPr>
          <w:p>
            <w:r/>
            <w:r>
              <w:rPr>
                <w:rFonts w:ascii="Calibri" w:hAnsi="Calibri"/>
                <w:color w:val="2B2E33"/>
                <w:sz w:val="19"/>
              </w:rPr>
              <w:t>205-500-4</w:t>
            </w:r>
          </w:p>
        </w:tc>
        <w:tc>
          <w:tcPr>
            <w:tcW w:type="dxa" w:w="1569"/>
          </w:tcPr>
          <w:p>
            <w:r/>
            <w:r>
              <w:rPr>
                <w:rFonts w:ascii="Calibri" w:hAnsi="Calibri"/>
                <w:color w:val="2B2E33"/>
                <w:sz w:val="19"/>
              </w:rPr>
              <w:t>607-022-00-5</w:t>
            </w:r>
          </w:p>
        </w:tc>
        <w:tc>
          <w:tcPr>
            <w:tcW w:type="dxa" w:w="1569"/>
          </w:tcPr>
          <w:p>
            <w:r/>
            <w:r>
              <w:rPr>
                <w:rFonts w:ascii="Calibri" w:hAnsi="Calibri"/>
                <w:color w:val="2B2E33"/>
                <w:sz w:val="19"/>
              </w:rPr>
              <w:t>Flam. Liq. 2; Eye Irrit. 2; STOT SE 3</w:t>
            </w:r>
          </w:p>
        </w:tc>
        <w:tc>
          <w:tcPr>
            <w:tcW w:type="dxa" w:w="1569"/>
          </w:tcPr>
          <w:p>
            <w:r/>
            <w:r>
              <w:rPr>
                <w:rFonts w:ascii="Calibri" w:hAnsi="Calibri"/>
                <w:color w:val="2B2E33"/>
                <w:sz w:val="19"/>
              </w:rPr>
              <w:t>&gt; 99.8%</w:t>
            </w:r>
          </w:p>
        </w:tc>
      </w:tr>
    </w:tbl>
    <w:p>
      <w:pPr>
        <w:spacing w:before="0" w:after="80"/>
      </w:pPr>
      <w:r>
        <w:rPr>
          <w:rFonts w:ascii="Calibri" w:hAnsi="Calibri"/>
          <w:b w:val="0"/>
          <w:sz w:val="20"/>
        </w:rPr>
        <w:t>Molecular weight: 88.11 g/mol | Formula: C₄H₈O₂</w:t>
      </w:r>
    </w:p>
    <w:p>
      <w:pPr>
        <w:spacing w:before="0" w:after="80"/>
      </w:pPr>
      <w:r>
        <w:rPr>
          <w:rFonts w:ascii="Calibri" w:hAnsi="Calibri"/>
          <w:b w:val="0"/>
          <w:sz w:val="20"/>
        </w:rPr>
        <w:t>3.2 Mixtures: Not applicable.</w:t>
      </w:r>
    </w:p>
    <w:p>
      <w:pPr>
        <w:spacing w:before="200" w:after="120"/>
        <w:ind w:left="144"/>
        <w:pBdr>
          <w:left w:val="single" w:sz="24" w:color="0071B8" w:space="8"/>
        </w:pBdr>
      </w:pPr>
      <w:r>
        <w:rPr>
          <w:rFonts w:ascii="Calibri" w:hAnsi="Calibri"/>
          <w:b/>
          <w:color w:val="2B2E33"/>
          <w:sz w:val="26"/>
        </w:rPr>
        <w:t xml:space="preserve">  SECTION 4: First aid measures</w:t>
      </w:r>
    </w:p>
    <w:p>
      <w:pPr>
        <w:spacing w:before="160" w:after="80"/>
      </w:pPr>
      <w:r>
        <w:rPr>
          <w:rFonts w:ascii="Calibri" w:hAnsi="Calibri"/>
          <w:b/>
          <w:color w:val="2B2E33"/>
          <w:sz w:val="22"/>
        </w:rPr>
        <w:t>4.1 Description of first aid measures</w:t>
      </w:r>
    </w:p>
    <w:tbl>
      <w:tblPr>
        <w:tblStyle w:val="TableGrid"/>
        <w:tblW w:type="auto" w:w="0"/>
        <w:tblLook w:firstColumn="1" w:firstRow="1" w:lastColumn="0" w:lastRow="0" w:noHBand="0" w:noVBand="1" w:val="04A0"/>
      </w:tblPr>
      <w:tblGrid>
        <w:gridCol w:w="4706"/>
        <w:gridCol w:w="4706"/>
      </w:tblGrid>
      <w:tr>
        <w:tc>
          <w:tcPr>
            <w:tcW w:type="dxa" w:w="4706"/>
            <w:shd w:val="clear" w:color="auto" w:fill="004C98"/>
          </w:tcPr>
          <w:p>
            <w:r/>
            <w:r>
              <w:rPr>
                <w:rFonts w:ascii="Calibri" w:hAnsi="Calibri"/>
                <w:b/>
                <w:color w:val="FFFFFF"/>
                <w:sz w:val="19"/>
              </w:rPr>
              <w:t>Route</w:t>
            </w:r>
          </w:p>
        </w:tc>
        <w:tc>
          <w:tcPr>
            <w:tcW w:type="dxa" w:w="4706"/>
            <w:shd w:val="clear" w:color="auto" w:fill="004C98"/>
          </w:tcPr>
          <w:p>
            <w:r/>
            <w:r>
              <w:rPr>
                <w:rFonts w:ascii="Calibri" w:hAnsi="Calibri"/>
                <w:b/>
                <w:color w:val="FFFFFF"/>
                <w:sz w:val="19"/>
              </w:rPr>
              <w:t>Measures</w:t>
            </w:r>
          </w:p>
        </w:tc>
      </w:tr>
      <w:tr>
        <w:tc>
          <w:tcPr>
            <w:tcW w:type="dxa" w:w="4706"/>
          </w:tcPr>
          <w:p>
            <w:r/>
            <w:r>
              <w:rPr>
                <w:rFonts w:ascii="Calibri" w:hAnsi="Calibri"/>
                <w:b/>
                <w:color w:val="2B2E33"/>
                <w:sz w:val="19"/>
              </w:rPr>
              <w:t>General</w:t>
            </w:r>
          </w:p>
        </w:tc>
        <w:tc>
          <w:tcPr>
            <w:tcW w:type="dxa" w:w="4706"/>
          </w:tcPr>
          <w:p>
            <w:r/>
            <w:r>
              <w:rPr>
                <w:rFonts w:ascii="Calibri" w:hAnsi="Calibri"/>
                <w:color w:val="2B2E33"/>
                <w:sz w:val="19"/>
              </w:rPr>
              <w:t>Call a poison centre or a doctor if you feel unwell.</w:t>
            </w:r>
          </w:p>
        </w:tc>
      </w:tr>
      <w:tr>
        <w:tc>
          <w:tcPr>
            <w:tcW w:type="dxa" w:w="4706"/>
            <w:shd w:val="clear" w:color="auto" w:fill="F2F6FA"/>
          </w:tcPr>
          <w:p>
            <w:r/>
            <w:r>
              <w:rPr>
                <w:rFonts w:ascii="Calibri" w:hAnsi="Calibri"/>
                <w:b/>
                <w:color w:val="2B2E33"/>
                <w:sz w:val="19"/>
              </w:rPr>
              <w:t>Inhalation</w:t>
            </w:r>
          </w:p>
        </w:tc>
        <w:tc>
          <w:tcPr>
            <w:tcW w:type="dxa" w:w="4706"/>
            <w:shd w:val="clear" w:color="auto" w:fill="F2F6FA"/>
          </w:tcPr>
          <w:p>
            <w:r/>
            <w:r>
              <w:rPr>
                <w:rFonts w:ascii="Calibri" w:hAnsi="Calibri"/>
                <w:color w:val="2B2E33"/>
                <w:sz w:val="19"/>
              </w:rPr>
              <w:t>Remove person to fresh air and keep comfortable for breathing.</w:t>
            </w:r>
          </w:p>
        </w:tc>
      </w:tr>
      <w:tr>
        <w:tc>
          <w:tcPr>
            <w:tcW w:type="dxa" w:w="4706"/>
          </w:tcPr>
          <w:p>
            <w:r/>
            <w:r>
              <w:rPr>
                <w:rFonts w:ascii="Calibri" w:hAnsi="Calibri"/>
                <w:b/>
                <w:color w:val="2B2E33"/>
                <w:sz w:val="19"/>
              </w:rPr>
              <w:t>Skin contact</w:t>
            </w:r>
          </w:p>
        </w:tc>
        <w:tc>
          <w:tcPr>
            <w:tcW w:type="dxa" w:w="4706"/>
          </w:tcPr>
          <w:p>
            <w:r/>
            <w:r>
              <w:rPr>
                <w:rFonts w:ascii="Calibri" w:hAnsi="Calibri"/>
                <w:color w:val="2B2E33"/>
                <w:sz w:val="19"/>
              </w:rPr>
              <w:t>Rinse skin with water/shower. Remove contaminated clothing.</w:t>
            </w:r>
          </w:p>
        </w:tc>
      </w:tr>
      <w:tr>
        <w:tc>
          <w:tcPr>
            <w:tcW w:type="dxa" w:w="4706"/>
            <w:shd w:val="clear" w:color="auto" w:fill="F2F6FA"/>
          </w:tcPr>
          <w:p>
            <w:r/>
            <w:r>
              <w:rPr>
                <w:rFonts w:ascii="Calibri" w:hAnsi="Calibri"/>
                <w:b/>
                <w:color w:val="2B2E33"/>
                <w:sz w:val="19"/>
              </w:rPr>
              <w:t>Eye contact</w:t>
            </w:r>
          </w:p>
        </w:tc>
        <w:tc>
          <w:tcPr>
            <w:tcW w:type="dxa" w:w="4706"/>
            <w:shd w:val="clear" w:color="auto" w:fill="F2F6FA"/>
          </w:tcPr>
          <w:p>
            <w:r/>
            <w:r>
              <w:rPr>
                <w:rFonts w:ascii="Calibri" w:hAnsi="Calibri"/>
                <w:color w:val="2B2E33"/>
                <w:sz w:val="19"/>
              </w:rPr>
              <w:t>Rinse cautiously with water for several minutes. Remove contact lenses. Continue rinsing. If irritation persists: Get medical advice.</w:t>
            </w:r>
          </w:p>
        </w:tc>
      </w:tr>
      <w:tr>
        <w:tc>
          <w:tcPr>
            <w:tcW w:type="dxa" w:w="4706"/>
          </w:tcPr>
          <w:p>
            <w:r/>
            <w:r>
              <w:rPr>
                <w:rFonts w:ascii="Calibri" w:hAnsi="Calibri"/>
                <w:b/>
                <w:color w:val="2B2E33"/>
                <w:sz w:val="19"/>
              </w:rPr>
              <w:t>Ingestion</w:t>
            </w:r>
          </w:p>
        </w:tc>
        <w:tc>
          <w:tcPr>
            <w:tcW w:type="dxa" w:w="4706"/>
          </w:tcPr>
          <w:p>
            <w:r/>
            <w:r>
              <w:rPr>
                <w:rFonts w:ascii="Calibri" w:hAnsi="Calibri"/>
                <w:color w:val="2B2E33"/>
                <w:sz w:val="19"/>
              </w:rPr>
              <w:t>Rinse mouth. Do not induce vomiting. Call a poison centre or a doctor if you feel unwell.</w:t>
            </w:r>
          </w:p>
        </w:tc>
      </w:tr>
    </w:tbl>
    <w:p>
      <w:pPr>
        <w:spacing w:before="160" w:after="80"/>
      </w:pPr>
      <w:r>
        <w:rPr>
          <w:rFonts w:ascii="Calibri" w:hAnsi="Calibri"/>
          <w:b/>
          <w:color w:val="2B2E33"/>
          <w:sz w:val="22"/>
        </w:rPr>
        <w:t>4.2 Most important symptoms and effects</w:t>
      </w:r>
    </w:p>
    <w:p>
      <w:pPr>
        <w:spacing w:before="0" w:after="80"/>
      </w:pPr>
      <w:r>
        <w:rPr>
          <w:rFonts w:ascii="Calibri" w:hAnsi="Calibri"/>
          <w:b w:val="0"/>
          <w:sz w:val="20"/>
        </w:rPr>
        <w:t>May cause drowsiness or dizziness. Repeated exposure may cause skin dryness or cracking. Causes eye irritation.</w:t>
      </w:r>
    </w:p>
    <w:p>
      <w:pPr>
        <w:spacing w:before="160" w:after="80"/>
      </w:pPr>
      <w:r>
        <w:rPr>
          <w:rFonts w:ascii="Calibri" w:hAnsi="Calibri"/>
          <w:b/>
          <w:color w:val="2B2E33"/>
          <w:sz w:val="22"/>
        </w:rPr>
        <w:t>4.3 Indication of immediate medical attention</w:t>
      </w:r>
    </w:p>
    <w:p>
      <w:pPr>
        <w:spacing w:before="0" w:after="80"/>
      </w:pPr>
      <w:r>
        <w:rPr>
          <w:rFonts w:ascii="Calibri" w:hAnsi="Calibri"/>
          <w:b w:val="0"/>
          <w:sz w:val="20"/>
        </w:rPr>
        <w:t>Treat symptomatically.</w:t>
      </w:r>
    </w:p>
    <w:p>
      <w:pPr>
        <w:spacing w:before="200" w:after="120"/>
        <w:ind w:left="144"/>
        <w:pBdr>
          <w:left w:val="single" w:sz="24" w:color="0071B8" w:space="8"/>
        </w:pBdr>
      </w:pPr>
      <w:r>
        <w:rPr>
          <w:rFonts w:ascii="Calibri" w:hAnsi="Calibri"/>
          <w:b/>
          <w:color w:val="2B2E33"/>
          <w:sz w:val="26"/>
        </w:rPr>
        <w:t xml:space="preserve">  SECTION 5: Firefighting measures</w:t>
      </w:r>
    </w:p>
    <w:p>
      <w:pPr>
        <w:spacing w:before="160" w:after="80"/>
      </w:pPr>
      <w:r>
        <w:rPr>
          <w:rFonts w:ascii="Calibri" w:hAnsi="Calibri"/>
          <w:b/>
          <w:color w:val="2B2E33"/>
          <w:sz w:val="22"/>
        </w:rPr>
        <w:t>5.1 Extinguishing media</w:t>
      </w:r>
    </w:p>
    <w:p>
      <w:pPr>
        <w:spacing w:before="0" w:after="80"/>
      </w:pPr>
      <w:r>
        <w:rPr>
          <w:rFonts w:ascii="Calibri" w:hAnsi="Calibri"/>
          <w:b w:val="0"/>
          <w:sz w:val="20"/>
        </w:rPr>
        <w:t>Suitable: Water spray, dry powder, foam, CO₂.</w:t>
        <w:br/>
        <w:t>Unsuitable: High volume water jet.</w:t>
      </w:r>
    </w:p>
    <w:p>
      <w:pPr>
        <w:spacing w:before="160" w:after="80"/>
      </w:pPr>
      <w:r>
        <w:rPr>
          <w:rFonts w:ascii="Calibri" w:hAnsi="Calibri"/>
          <w:b/>
          <w:color w:val="2B2E33"/>
          <w:sz w:val="22"/>
        </w:rPr>
        <w:t>5.2 Special hazards</w:t>
      </w:r>
    </w:p>
    <w:p>
      <w:pPr>
        <w:spacing w:before="0" w:after="80"/>
      </w:pPr>
      <w:r>
        <w:rPr>
          <w:rFonts w:ascii="Calibri" w:hAnsi="Calibri"/>
          <w:b w:val="0"/>
          <w:sz w:val="20"/>
        </w:rPr>
        <w:t>Highly flammable liquid and vapour. Toxic fumes may be released (carbon oxides).</w:t>
      </w:r>
    </w:p>
    <w:p>
      <w:pPr>
        <w:spacing w:before="160" w:after="80"/>
      </w:pPr>
      <w:r>
        <w:rPr>
          <w:rFonts w:ascii="Calibri" w:hAnsi="Calibri"/>
          <w:b/>
          <w:color w:val="2B2E33"/>
          <w:sz w:val="22"/>
        </w:rPr>
        <w:t>5.3 Advice for firefighters</w:t>
      </w:r>
    </w:p>
    <w:p>
      <w:pPr>
        <w:spacing w:before="0" w:after="80"/>
      </w:pPr>
      <w:r>
        <w:rPr>
          <w:rFonts w:ascii="Calibri" w:hAnsi="Calibri"/>
          <w:b w:val="0"/>
          <w:sz w:val="20"/>
        </w:rPr>
        <w:t>Self-contained breathing apparatus. Complete protective clothing.</w:t>
      </w:r>
    </w:p>
    <w:p>
      <w:pPr>
        <w:spacing w:before="200" w:after="120"/>
        <w:ind w:left="144"/>
        <w:pBdr>
          <w:left w:val="single" w:sz="24" w:color="0071B8" w:space="8"/>
        </w:pBdr>
      </w:pPr>
      <w:r>
        <w:rPr>
          <w:rFonts w:ascii="Calibri" w:hAnsi="Calibri"/>
          <w:b/>
          <w:color w:val="2B2E33"/>
          <w:sz w:val="26"/>
        </w:rPr>
        <w:t xml:space="preserve">  SECTION 6: Accidental release measures</w:t>
      </w:r>
    </w:p>
    <w:p>
      <w:pPr>
        <w:spacing w:before="160" w:after="80"/>
      </w:pPr>
      <w:r>
        <w:rPr>
          <w:rFonts w:ascii="Calibri" w:hAnsi="Calibri"/>
          <w:b/>
          <w:color w:val="2B2E33"/>
          <w:sz w:val="22"/>
        </w:rPr>
        <w:t>6.1 Personal precautions</w:t>
      </w:r>
    </w:p>
    <w:p>
      <w:pPr>
        <w:spacing w:before="0" w:after="80"/>
      </w:pPr>
      <w:r>
        <w:rPr>
          <w:rFonts w:ascii="Calibri" w:hAnsi="Calibri"/>
          <w:b w:val="0"/>
          <w:sz w:val="20"/>
        </w:rPr>
        <w:t>Wear PPE. Ventilate area. No open flames. Avoid breathing vapours.</w:t>
        <w:br/>
        <w:t>For emergency responders: Eliminate ignition sources. Evacuate unnecessary personnel.</w:t>
      </w:r>
    </w:p>
    <w:p>
      <w:pPr>
        <w:spacing w:before="160" w:after="80"/>
      </w:pPr>
      <w:r>
        <w:rPr>
          <w:rFonts w:ascii="Calibri" w:hAnsi="Calibri"/>
          <w:b/>
          <w:color w:val="2B2E33"/>
          <w:sz w:val="22"/>
        </w:rPr>
        <w:t>6.2 Environmental precautions</w:t>
      </w:r>
    </w:p>
    <w:p>
      <w:pPr>
        <w:spacing w:before="0" w:after="80"/>
      </w:pPr>
      <w:r>
        <w:rPr>
          <w:rFonts w:ascii="Calibri" w:hAnsi="Calibri"/>
          <w:b w:val="0"/>
          <w:sz w:val="20"/>
        </w:rPr>
        <w:t>Avoid release to the environment.</w:t>
      </w:r>
    </w:p>
    <w:p>
      <w:pPr>
        <w:spacing w:before="160" w:after="80"/>
      </w:pPr>
      <w:r>
        <w:rPr>
          <w:rFonts w:ascii="Calibri" w:hAnsi="Calibri"/>
          <w:b/>
          <w:color w:val="2B2E33"/>
          <w:sz w:val="22"/>
        </w:rPr>
        <w:t>6.3 Containment and cleaning up</w:t>
      </w:r>
    </w:p>
    <w:p>
      <w:pPr>
        <w:spacing w:before="0" w:after="80"/>
      </w:pPr>
      <w:r>
        <w:rPr>
          <w:rFonts w:ascii="Calibri" w:hAnsi="Calibri"/>
          <w:b w:val="0"/>
          <w:sz w:val="20"/>
        </w:rPr>
        <w:t>Take up with absorbent material. Notify authorities if product enters sewers or public waters.</w:t>
      </w:r>
    </w:p>
    <w:p>
      <w:pPr>
        <w:spacing w:before="200" w:after="120"/>
        <w:ind w:left="144"/>
        <w:pBdr>
          <w:left w:val="single" w:sz="24" w:color="0071B8" w:space="8"/>
        </w:pBdr>
      </w:pPr>
      <w:r>
        <w:rPr>
          <w:rFonts w:ascii="Calibri" w:hAnsi="Calibri"/>
          <w:b/>
          <w:color w:val="2B2E33"/>
          <w:sz w:val="26"/>
        </w:rPr>
        <w:t xml:space="preserve">  SECTION 7: Handling and storage</w:t>
      </w:r>
    </w:p>
    <w:p>
      <w:pPr>
        <w:spacing w:before="160" w:after="80"/>
      </w:pPr>
      <w:r>
        <w:rPr>
          <w:rFonts w:ascii="Calibri" w:hAnsi="Calibri"/>
          <w:b/>
          <w:color w:val="2B2E33"/>
          <w:sz w:val="22"/>
        </w:rPr>
        <w:t>7.1 Precautions for safe handling</w:t>
      </w:r>
    </w:p>
    <w:p>
      <w:pPr>
        <w:spacing w:before="0" w:after="80"/>
      </w:pPr>
      <w:r>
        <w:rPr>
          <w:rFonts w:ascii="Calibri" w:hAnsi="Calibri"/>
          <w:b w:val="0"/>
          <w:sz w:val="20"/>
        </w:rPr>
        <w:t>Keep away from heat, sparks, open flames. Ground/bond container. Use non-sparking tools. Explosion-proof equipment. Avoid breathing vapours.</w:t>
      </w:r>
    </w:p>
    <w:p>
      <w:pPr>
        <w:spacing w:before="160" w:after="80"/>
      </w:pPr>
      <w:r>
        <w:rPr>
          <w:rFonts w:ascii="Calibri" w:hAnsi="Calibri"/>
          <w:b/>
          <w:color w:val="2B2E33"/>
          <w:sz w:val="22"/>
        </w:rPr>
        <w:t>7.2 Conditions for safe storage</w:t>
      </w:r>
    </w:p>
    <w:p>
      <w:pPr>
        <w:spacing w:before="0" w:after="80"/>
      </w:pPr>
      <w:r>
        <w:rPr>
          <w:rFonts w:ascii="Calibri" w:hAnsi="Calibri"/>
          <w:b w:val="0"/>
          <w:sz w:val="20"/>
        </w:rPr>
        <w:t>Store in well-ventilated place. Keep cool. Keep container tightly closed. Store locked up.</w:t>
      </w:r>
    </w:p>
    <w:p>
      <w:pPr>
        <w:spacing w:before="200" w:after="120"/>
        <w:ind w:left="144"/>
        <w:pBdr>
          <w:left w:val="single" w:sz="24" w:color="0071B8" w:space="8"/>
        </w:pBdr>
      </w:pPr>
      <w:r>
        <w:rPr>
          <w:rFonts w:ascii="Calibri" w:hAnsi="Calibri"/>
          <w:b/>
          <w:color w:val="2B2E33"/>
          <w:sz w:val="26"/>
        </w:rPr>
        <w:t xml:space="preserve">  SECTION 8: Exposure controls/personal protection</w:t>
      </w:r>
    </w:p>
    <w:p>
      <w:pPr>
        <w:spacing w:before="160" w:after="80"/>
      </w:pPr>
      <w:r>
        <w:rPr>
          <w:rFonts w:ascii="Calibri" w:hAnsi="Calibri"/>
          <w:b/>
          <w:color w:val="2B2E33"/>
          <w:sz w:val="22"/>
        </w:rPr>
        <w:t>8.1 Control parameters</w:t>
      </w:r>
    </w:p>
    <w:p>
      <w:pPr>
        <w:spacing w:before="0" w:after="80"/>
      </w:pPr>
      <w:r>
        <w:rPr>
          <w:rFonts w:ascii="Calibri" w:hAnsi="Calibri"/>
          <w:b w:val="0"/>
          <w:sz w:val="20"/>
        </w:rPr>
        <w:t>IOELV TWA: 734 mg/m³ (200 ppm)</w:t>
        <w:br/>
        <w:t>IOELV STEL: 1,468 mg/m³ (400 ppm)</w:t>
      </w:r>
    </w:p>
    <w:p>
      <w:pPr>
        <w:spacing w:before="160" w:after="80"/>
      </w:pPr>
      <w:r>
        <w:rPr>
          <w:rFonts w:ascii="Calibri" w:hAnsi="Calibri"/>
          <w:b/>
          <w:color w:val="2B2E33"/>
          <w:sz w:val="22"/>
        </w:rPr>
        <w:t>8.2 Exposure controls</w:t>
      </w:r>
    </w:p>
    <w:p>
      <w:pPr>
        <w:spacing w:before="0" w:after="80"/>
      </w:pPr>
      <w:r>
        <w:rPr>
          <w:rFonts w:ascii="Calibri" w:hAnsi="Calibri"/>
          <w:b w:val="0"/>
          <w:sz w:val="20"/>
        </w:rPr>
        <w:t>Engineering: Good ventilation.</w:t>
        <w:br/>
        <w:t>PPE: Gloves, safety glasses, protective clothing.</w:t>
        <w:br/>
        <w:t>Respiratory: If insufficient ventilation.</w:t>
      </w:r>
    </w:p>
    <w:p>
      <w:pPr>
        <w:spacing w:before="200" w:after="120"/>
        <w:ind w:left="144"/>
        <w:pBdr>
          <w:left w:val="single" w:sz="24" w:color="0071B8" w:space="8"/>
        </w:pBdr>
      </w:pPr>
      <w:r>
        <w:rPr>
          <w:rFonts w:ascii="Calibri" w:hAnsi="Calibri"/>
          <w:b/>
          <w:color w:val="2B2E33"/>
          <w:sz w:val="26"/>
        </w:rPr>
        <w:t xml:space="preserve">  SECTION 9: Physical and chemical properties</w:t>
      </w:r>
    </w:p>
    <w:p>
      <w:pPr>
        <w:spacing w:before="160" w:after="80"/>
      </w:pPr>
      <w:r>
        <w:rPr>
          <w:rFonts w:ascii="Calibri" w:hAnsi="Calibri"/>
          <w:b/>
          <w:color w:val="2B2E33"/>
          <w:sz w:val="22"/>
        </w:rPr>
        <w:t>Appearance</w:t>
      </w:r>
    </w:p>
    <w:p>
      <w:pPr>
        <w:spacing w:before="0" w:after="80"/>
      </w:pPr>
      <w:r>
        <w:rPr>
          <w:rFonts w:ascii="Calibri" w:hAnsi="Calibri"/>
          <w:b w:val="0"/>
          <w:sz w:val="20"/>
        </w:rPr>
        <w:t>Clear, colourless liquid</w:t>
      </w:r>
    </w:p>
    <w:p>
      <w:pPr>
        <w:spacing w:before="160" w:after="80"/>
      </w:pPr>
      <w:r>
        <w:rPr>
          <w:rFonts w:ascii="Calibri" w:hAnsi="Calibri"/>
          <w:b/>
          <w:color w:val="2B2E33"/>
          <w:sz w:val="22"/>
        </w:rPr>
        <w:t>Odour</w:t>
      </w:r>
    </w:p>
    <w:p>
      <w:pPr>
        <w:spacing w:before="0" w:after="80"/>
      </w:pPr>
      <w:r>
        <w:rPr>
          <w:rFonts w:ascii="Calibri" w:hAnsi="Calibri"/>
          <w:b w:val="0"/>
          <w:sz w:val="20"/>
        </w:rPr>
        <w:t>Fruity</w:t>
      </w:r>
    </w:p>
    <w:p>
      <w:pPr>
        <w:spacing w:before="160" w:after="80"/>
      </w:pPr>
      <w:r>
        <w:rPr>
          <w:rFonts w:ascii="Calibri" w:hAnsi="Calibri"/>
          <w:b/>
          <w:color w:val="2B2E33"/>
          <w:sz w:val="22"/>
        </w:rPr>
        <w:t>Melting point</w:t>
      </w:r>
    </w:p>
    <w:p>
      <w:pPr>
        <w:spacing w:before="0" w:after="80"/>
      </w:pPr>
      <w:r>
        <w:rPr>
          <w:rFonts w:ascii="Calibri" w:hAnsi="Calibri"/>
          <w:b w:val="0"/>
          <w:sz w:val="20"/>
        </w:rPr>
        <w:t>-84 °C</w:t>
      </w:r>
    </w:p>
    <w:p>
      <w:pPr>
        <w:spacing w:before="160" w:after="80"/>
      </w:pPr>
      <w:r>
        <w:rPr>
          <w:rFonts w:ascii="Calibri" w:hAnsi="Calibri"/>
          <w:b/>
          <w:color w:val="2B2E33"/>
          <w:sz w:val="22"/>
        </w:rPr>
        <w:t>Boiling point</w:t>
      </w:r>
    </w:p>
    <w:p>
      <w:pPr>
        <w:spacing w:before="0" w:after="80"/>
      </w:pPr>
      <w:r>
        <w:rPr>
          <w:rFonts w:ascii="Calibri" w:hAnsi="Calibri"/>
          <w:b w:val="0"/>
          <w:sz w:val="20"/>
        </w:rPr>
        <w:t>76.5 – 77.5 °C</w:t>
      </w:r>
    </w:p>
    <w:p>
      <w:pPr>
        <w:spacing w:before="160" w:after="80"/>
      </w:pPr>
      <w:r>
        <w:rPr>
          <w:rFonts w:ascii="Calibri" w:hAnsi="Calibri"/>
          <w:b/>
          <w:color w:val="2B2E33"/>
          <w:sz w:val="22"/>
        </w:rPr>
        <w:t>Flash point</w:t>
      </w:r>
    </w:p>
    <w:p>
      <w:pPr>
        <w:spacing w:before="0" w:after="80"/>
      </w:pPr>
      <w:r>
        <w:rPr>
          <w:rFonts w:ascii="Calibri" w:hAnsi="Calibri"/>
          <w:b w:val="0"/>
          <w:sz w:val="20"/>
        </w:rPr>
        <w:t>-4 °C</w:t>
      </w:r>
    </w:p>
    <w:p>
      <w:pPr>
        <w:spacing w:before="160" w:after="80"/>
      </w:pPr>
      <w:r>
        <w:rPr>
          <w:rFonts w:ascii="Calibri" w:hAnsi="Calibri"/>
          <w:b/>
          <w:color w:val="2B2E33"/>
          <w:sz w:val="22"/>
        </w:rPr>
        <w:t>Auto-ignition temp.</w:t>
      </w:r>
    </w:p>
    <w:p>
      <w:pPr>
        <w:spacing w:before="0" w:after="80"/>
      </w:pPr>
      <w:r>
        <w:rPr>
          <w:rFonts w:ascii="Calibri" w:hAnsi="Calibri"/>
          <w:b w:val="0"/>
          <w:sz w:val="20"/>
        </w:rPr>
        <w:t>426 °C</w:t>
      </w:r>
    </w:p>
    <w:p>
      <w:pPr>
        <w:spacing w:before="160" w:after="80"/>
      </w:pPr>
      <w:r>
        <w:rPr>
          <w:rFonts w:ascii="Calibri" w:hAnsi="Calibri"/>
          <w:b/>
          <w:color w:val="2B2E33"/>
          <w:sz w:val="22"/>
        </w:rPr>
        <w:t>Vapour pressure</w:t>
      </w:r>
    </w:p>
    <w:p>
      <w:pPr>
        <w:spacing w:before="0" w:after="80"/>
      </w:pPr>
      <w:r>
        <w:rPr>
          <w:rFonts w:ascii="Calibri" w:hAnsi="Calibri"/>
          <w:b w:val="0"/>
          <w:sz w:val="20"/>
        </w:rPr>
        <w:t>73 mm Hg (20 °C)</w:t>
      </w:r>
    </w:p>
    <w:p>
      <w:pPr>
        <w:spacing w:before="160" w:after="80"/>
      </w:pPr>
      <w:r>
        <w:rPr>
          <w:rFonts w:ascii="Calibri" w:hAnsi="Calibri"/>
          <w:b/>
          <w:color w:val="2B2E33"/>
          <w:sz w:val="22"/>
        </w:rPr>
        <w:t>Density</w:t>
      </w:r>
    </w:p>
    <w:p>
      <w:pPr>
        <w:spacing w:before="0" w:after="80"/>
      </w:pPr>
      <w:r>
        <w:rPr>
          <w:rFonts w:ascii="Calibri" w:hAnsi="Calibri"/>
          <w:b w:val="0"/>
          <w:sz w:val="20"/>
        </w:rPr>
        <w:t>0.902 g/cm³ (20 °C)</w:t>
      </w:r>
    </w:p>
    <w:p>
      <w:pPr>
        <w:spacing w:before="160" w:after="80"/>
      </w:pPr>
      <w:r>
        <w:rPr>
          <w:rFonts w:ascii="Calibri" w:hAnsi="Calibri"/>
          <w:b/>
          <w:color w:val="2B2E33"/>
          <w:sz w:val="22"/>
        </w:rPr>
        <w:t>Solubility in water</w:t>
      </w:r>
    </w:p>
    <w:p>
      <w:pPr>
        <w:spacing w:before="0" w:after="80"/>
      </w:pPr>
      <w:r>
        <w:rPr>
          <w:rFonts w:ascii="Calibri" w:hAnsi="Calibri"/>
          <w:b w:val="0"/>
          <w:sz w:val="20"/>
        </w:rPr>
        <w:t>8 g/100 ml (25 °C)</w:t>
      </w:r>
    </w:p>
    <w:p>
      <w:pPr>
        <w:spacing w:before="160" w:after="80"/>
      </w:pPr>
      <w:r>
        <w:rPr>
          <w:rFonts w:ascii="Calibri" w:hAnsi="Calibri"/>
          <w:b/>
          <w:color w:val="2B2E33"/>
          <w:sz w:val="22"/>
        </w:rPr>
        <w:t>log Pow</w:t>
      </w:r>
    </w:p>
    <w:p>
      <w:pPr>
        <w:spacing w:before="0" w:after="80"/>
      </w:pPr>
      <w:r>
        <w:rPr>
          <w:rFonts w:ascii="Calibri" w:hAnsi="Calibri"/>
          <w:b w:val="0"/>
          <w:sz w:val="20"/>
        </w:rPr>
        <w:t>0.73</w:t>
      </w:r>
    </w:p>
    <w:p>
      <w:pPr>
        <w:spacing w:before="160" w:after="80"/>
      </w:pPr>
      <w:r>
        <w:rPr>
          <w:rFonts w:ascii="Calibri" w:hAnsi="Calibri"/>
          <w:b/>
          <w:color w:val="2B2E33"/>
          <w:sz w:val="22"/>
        </w:rPr>
        <w:t>Flammability limits</w:t>
      </w:r>
    </w:p>
    <w:p>
      <w:pPr>
        <w:spacing w:before="0" w:after="80"/>
      </w:pPr>
      <w:r>
        <w:rPr>
          <w:rFonts w:ascii="Calibri" w:hAnsi="Calibri"/>
          <w:b w:val="0"/>
          <w:sz w:val="20"/>
        </w:rPr>
        <w:t>2 – 11.5 vol %</w:t>
      </w:r>
    </w:p>
    <w:p>
      <w:pPr>
        <w:spacing w:before="200" w:after="120"/>
        <w:ind w:left="144"/>
        <w:pBdr>
          <w:left w:val="single" w:sz="24" w:color="0071B8" w:space="8"/>
        </w:pBdr>
      </w:pPr>
      <w:r>
        <w:rPr>
          <w:rFonts w:ascii="Calibri" w:hAnsi="Calibri"/>
          <w:b/>
          <w:color w:val="2B2E33"/>
          <w:sz w:val="26"/>
        </w:rPr>
        <w:t xml:space="preserve">  SECTION 10: Stability and reactivity</w:t>
      </w:r>
    </w:p>
    <w:p>
      <w:pPr>
        <w:spacing w:before="160" w:after="80"/>
      </w:pPr>
      <w:r>
        <w:rPr>
          <w:rFonts w:ascii="Calibri" w:hAnsi="Calibri"/>
          <w:b/>
          <w:color w:val="2B2E33"/>
          <w:sz w:val="22"/>
        </w:rPr>
        <w:t>10.1 Reactivity</w:t>
      </w:r>
    </w:p>
    <w:p>
      <w:pPr>
        <w:spacing w:before="0" w:after="80"/>
      </w:pPr>
      <w:r>
        <w:rPr>
          <w:rFonts w:ascii="Calibri" w:hAnsi="Calibri"/>
          <w:b w:val="0"/>
          <w:sz w:val="20"/>
        </w:rPr>
        <w:t>Highly flammable liquid and vapour.</w:t>
      </w:r>
    </w:p>
    <w:p>
      <w:pPr>
        <w:spacing w:before="160" w:after="80"/>
      </w:pPr>
      <w:r>
        <w:rPr>
          <w:rFonts w:ascii="Calibri" w:hAnsi="Calibri"/>
          <w:b/>
          <w:color w:val="2B2E33"/>
          <w:sz w:val="22"/>
        </w:rPr>
        <w:t>10.2 Chemical stability</w:t>
      </w:r>
    </w:p>
    <w:p>
      <w:pPr>
        <w:spacing w:before="0" w:after="80"/>
      </w:pPr>
      <w:r>
        <w:rPr>
          <w:rFonts w:ascii="Calibri" w:hAnsi="Calibri"/>
          <w:b w:val="0"/>
          <w:sz w:val="20"/>
        </w:rPr>
        <w:t>Stable under normal conditions.</w:t>
      </w:r>
    </w:p>
    <w:p>
      <w:pPr>
        <w:spacing w:before="160" w:after="80"/>
      </w:pPr>
      <w:r>
        <w:rPr>
          <w:rFonts w:ascii="Calibri" w:hAnsi="Calibri"/>
          <w:b/>
          <w:color w:val="2B2E33"/>
          <w:sz w:val="22"/>
        </w:rPr>
        <w:t>10.4 Conditions to avoid</w:t>
      </w:r>
    </w:p>
    <w:p>
      <w:pPr>
        <w:spacing w:before="0" w:after="80"/>
      </w:pPr>
      <w:r>
        <w:rPr>
          <w:rFonts w:ascii="Calibri" w:hAnsi="Calibri"/>
          <w:b w:val="0"/>
          <w:sz w:val="20"/>
        </w:rPr>
        <w:t>Heat, open flames, sparks, ignition sources.</w:t>
      </w:r>
    </w:p>
    <w:p>
      <w:pPr>
        <w:spacing w:before="200" w:after="120"/>
        <w:ind w:left="144"/>
        <w:pBdr>
          <w:left w:val="single" w:sz="24" w:color="0071B8" w:space="8"/>
        </w:pBdr>
      </w:pPr>
      <w:r>
        <w:rPr>
          <w:rFonts w:ascii="Calibri" w:hAnsi="Calibri"/>
          <w:b/>
          <w:color w:val="2B2E33"/>
          <w:sz w:val="26"/>
        </w:rPr>
        <w:t xml:space="preserve">  SECTION 11: Toxicological information</w:t>
      </w:r>
    </w:p>
    <w:p>
      <w:pPr>
        <w:spacing w:before="160" w:after="80"/>
      </w:pPr>
      <w:r>
        <w:rPr>
          <w:rFonts w:ascii="Calibri" w:hAnsi="Calibri"/>
          <w:b/>
          <w:color w:val="2B2E33"/>
          <w:sz w:val="22"/>
        </w:rPr>
        <w:t>Acute toxicity</w:t>
      </w:r>
    </w:p>
    <w:p>
      <w:pPr>
        <w:spacing w:before="0" w:after="80"/>
      </w:pPr>
      <w:r>
        <w:rPr>
          <w:rFonts w:ascii="Calibri" w:hAnsi="Calibri"/>
          <w:b w:val="0"/>
          <w:sz w:val="20"/>
        </w:rPr>
        <w:t>Not classified. LD50 oral: 5,620 mg/kg. LC50 inhalation: 1.600 mg/l/4h.</w:t>
      </w:r>
    </w:p>
    <w:p>
      <w:pPr>
        <w:spacing w:before="160" w:after="80"/>
      </w:pPr>
      <w:r>
        <w:rPr>
          <w:rFonts w:ascii="Calibri" w:hAnsi="Calibri"/>
          <w:b/>
          <w:color w:val="2B2E33"/>
          <w:sz w:val="22"/>
        </w:rPr>
        <w:t>Eye irritation</w:t>
      </w:r>
    </w:p>
    <w:p>
      <w:pPr>
        <w:spacing w:before="0" w:after="80"/>
      </w:pPr>
      <w:r>
        <w:rPr>
          <w:rFonts w:ascii="Calibri" w:hAnsi="Calibri"/>
          <w:b w:val="0"/>
          <w:sz w:val="20"/>
        </w:rPr>
        <w:t>Causes serious eye irritation.</w:t>
      </w:r>
    </w:p>
    <w:p>
      <w:pPr>
        <w:spacing w:before="160" w:after="80"/>
      </w:pPr>
      <w:r>
        <w:rPr>
          <w:rFonts w:ascii="Calibri" w:hAnsi="Calibri"/>
          <w:b/>
          <w:color w:val="2B2E33"/>
          <w:sz w:val="22"/>
        </w:rPr>
        <w:t>STOT single exposure</w:t>
      </w:r>
    </w:p>
    <w:p>
      <w:pPr>
        <w:spacing w:before="0" w:after="80"/>
      </w:pPr>
      <w:r>
        <w:rPr>
          <w:rFonts w:ascii="Calibri" w:hAnsi="Calibri"/>
          <w:b w:val="0"/>
          <w:sz w:val="20"/>
        </w:rPr>
        <w:t>Category 3 — May cause drowsiness or dizziness.</w:t>
      </w:r>
    </w:p>
    <w:p>
      <w:pPr>
        <w:spacing w:before="200" w:after="120"/>
        <w:ind w:left="144"/>
        <w:pBdr>
          <w:left w:val="single" w:sz="24" w:color="0071B8" w:space="8"/>
        </w:pBdr>
      </w:pPr>
      <w:r>
        <w:rPr>
          <w:rFonts w:ascii="Calibri" w:hAnsi="Calibri"/>
          <w:b/>
          <w:color w:val="2B2E33"/>
          <w:sz w:val="26"/>
        </w:rPr>
        <w:t xml:space="preserve">  SECTION 12: Ecological information</w:t>
      </w:r>
    </w:p>
    <w:p>
      <w:pPr>
        <w:spacing w:before="160" w:after="80"/>
      </w:pPr>
      <w:r>
        <w:rPr>
          <w:rFonts w:ascii="Calibri" w:hAnsi="Calibri"/>
          <w:b/>
          <w:color w:val="2B2E33"/>
          <w:sz w:val="22"/>
        </w:rPr>
        <w:t>12.1 Toxicity</w:t>
      </w:r>
    </w:p>
    <w:p>
      <w:pPr>
        <w:spacing w:before="0" w:after="80"/>
      </w:pPr>
      <w:r>
        <w:rPr>
          <w:rFonts w:ascii="Calibri" w:hAnsi="Calibri"/>
          <w:b w:val="0"/>
          <w:sz w:val="20"/>
        </w:rPr>
        <w:t>Not harmful to aquatic organisms.</w:t>
        <w:br/>
        <w:t>LC50 (fish, 96h): 230 mg/l</w:t>
        <w:br/>
        <w:t>EC50 (daphnia, 48h): 720 mg/l</w:t>
      </w:r>
    </w:p>
    <w:p>
      <w:pPr>
        <w:spacing w:before="160" w:after="80"/>
      </w:pPr>
      <w:r>
        <w:rPr>
          <w:rFonts w:ascii="Calibri" w:hAnsi="Calibri"/>
          <w:b/>
          <w:color w:val="2B2E33"/>
          <w:sz w:val="22"/>
        </w:rPr>
        <w:t>12.2 Persistence</w:t>
      </w:r>
    </w:p>
    <w:p>
      <w:pPr>
        <w:spacing w:before="0" w:after="80"/>
      </w:pPr>
      <w:r>
        <w:rPr>
          <w:rFonts w:ascii="Calibri" w:hAnsi="Calibri"/>
          <w:b w:val="0"/>
          <w:sz w:val="20"/>
        </w:rPr>
        <w:t>Readily biodegradable — 100% after 28 days.</w:t>
      </w:r>
    </w:p>
    <w:p>
      <w:pPr>
        <w:spacing w:before="160" w:after="80"/>
      </w:pPr>
      <w:r>
        <w:rPr>
          <w:rFonts w:ascii="Calibri" w:hAnsi="Calibri"/>
          <w:b/>
          <w:color w:val="2B2E33"/>
          <w:sz w:val="22"/>
        </w:rPr>
        <w:t>12.3 Bioaccumulation</w:t>
      </w:r>
    </w:p>
    <w:p>
      <w:pPr>
        <w:spacing w:before="0" w:after="80"/>
      </w:pPr>
      <w:r>
        <w:rPr>
          <w:rFonts w:ascii="Calibri" w:hAnsi="Calibri"/>
          <w:b w:val="0"/>
          <w:sz w:val="20"/>
        </w:rPr>
        <w:t>Log Pow 0.73 — low bioaccumulation potential.</w:t>
      </w:r>
    </w:p>
    <w:p>
      <w:pPr>
        <w:spacing w:before="200" w:after="120"/>
        <w:ind w:left="144"/>
        <w:pBdr>
          <w:left w:val="single" w:sz="24" w:color="0071B8" w:space="8"/>
        </w:pBdr>
      </w:pPr>
      <w:r>
        <w:rPr>
          <w:rFonts w:ascii="Calibri" w:hAnsi="Calibri"/>
          <w:b/>
          <w:color w:val="2B2E33"/>
          <w:sz w:val="26"/>
        </w:rPr>
        <w:t xml:space="preserve">  SECTION 13: Disposal considerations</w:t>
      </w:r>
    </w:p>
    <w:p>
      <w:pPr>
        <w:spacing w:before="160" w:after="80"/>
      </w:pPr>
      <w:r>
        <w:rPr>
          <w:rFonts w:ascii="Calibri" w:hAnsi="Calibri"/>
          <w:b/>
          <w:color w:val="2B2E33"/>
          <w:sz w:val="22"/>
        </w:rPr>
        <w:t>13.1 Waste treatment</w:t>
      </w:r>
    </w:p>
    <w:p>
      <w:pPr>
        <w:spacing w:before="0" w:after="80"/>
      </w:pPr>
      <w:r>
        <w:rPr>
          <w:rFonts w:ascii="Calibri" w:hAnsi="Calibri"/>
          <w:b w:val="0"/>
          <w:sz w:val="20"/>
        </w:rPr>
        <w:t>Dispose in accordance with local/national/international regulation.</w:t>
        <w:br/>
        <w:t>Do not re-use empty containers.</w:t>
      </w:r>
    </w:p>
    <w:p>
      <w:pPr>
        <w:spacing w:before="200" w:after="120"/>
        <w:ind w:left="144"/>
        <w:pBdr>
          <w:left w:val="single" w:sz="24" w:color="0071B8" w:space="8"/>
        </w:pBdr>
      </w:pPr>
      <w:r>
        <w:rPr>
          <w:rFonts w:ascii="Calibri" w:hAnsi="Calibri"/>
          <w:b/>
          <w:color w:val="2B2E33"/>
          <w:sz w:val="26"/>
        </w:rPr>
        <w:t xml:space="preserve">  SECTION 14: Transport information</w:t>
      </w:r>
    </w:p>
    <w:p>
      <w:pPr>
        <w:spacing w:before="160" w:after="80"/>
      </w:pPr>
      <w:r>
        <w:rPr>
          <w:rFonts w:ascii="Calibri" w:hAnsi="Calibri"/>
          <w:b/>
          <w:color w:val="2B2E33"/>
          <w:sz w:val="22"/>
        </w:rPr>
        <w:t>UN number</w:t>
      </w:r>
    </w:p>
    <w:p>
      <w:pPr>
        <w:spacing w:before="0" w:after="80"/>
      </w:pPr>
      <w:r>
        <w:rPr>
          <w:rFonts w:ascii="Calibri" w:hAnsi="Calibri"/>
          <w:b w:val="0"/>
          <w:sz w:val="20"/>
        </w:rPr>
        <w:t>1173</w:t>
      </w:r>
    </w:p>
    <w:p>
      <w:pPr>
        <w:spacing w:before="160" w:after="80"/>
      </w:pPr>
      <w:r>
        <w:rPr>
          <w:rFonts w:ascii="Calibri" w:hAnsi="Calibri"/>
          <w:b/>
          <w:color w:val="2B2E33"/>
          <w:sz w:val="22"/>
        </w:rPr>
        <w:t>Proper shipping name</w:t>
      </w:r>
    </w:p>
    <w:p>
      <w:pPr>
        <w:spacing w:before="0" w:after="80"/>
      </w:pPr>
      <w:r>
        <w:rPr>
          <w:rFonts w:ascii="Calibri" w:hAnsi="Calibri"/>
          <w:b w:val="0"/>
          <w:sz w:val="20"/>
        </w:rPr>
        <w:t>ETHYL ACETATE</w:t>
      </w:r>
    </w:p>
    <w:p>
      <w:pPr>
        <w:spacing w:before="160" w:after="80"/>
      </w:pPr>
      <w:r>
        <w:rPr>
          <w:rFonts w:ascii="Calibri" w:hAnsi="Calibri"/>
          <w:b/>
          <w:color w:val="2B2E33"/>
          <w:sz w:val="22"/>
        </w:rPr>
        <w:t>Class</w:t>
      </w:r>
    </w:p>
    <w:p>
      <w:pPr>
        <w:spacing w:before="0" w:after="80"/>
      </w:pPr>
      <w:r>
        <w:rPr>
          <w:rFonts w:ascii="Calibri" w:hAnsi="Calibri"/>
          <w:b w:val="0"/>
          <w:sz w:val="20"/>
        </w:rPr>
        <w:t>3</w:t>
      </w:r>
    </w:p>
    <w:p>
      <w:pPr>
        <w:spacing w:before="160" w:after="80"/>
      </w:pPr>
      <w:r>
        <w:rPr>
          <w:rFonts w:ascii="Calibri" w:hAnsi="Calibri"/>
          <w:b/>
          <w:color w:val="2B2E33"/>
          <w:sz w:val="22"/>
        </w:rPr>
        <w:t>Packing group</w:t>
      </w:r>
    </w:p>
    <w:p>
      <w:pPr>
        <w:spacing w:before="0" w:after="80"/>
      </w:pPr>
      <w:r>
        <w:rPr>
          <w:rFonts w:ascii="Calibri" w:hAnsi="Calibri"/>
          <w:b w:val="0"/>
          <w:sz w:val="20"/>
        </w:rPr>
        <w:t>II</w:t>
      </w:r>
    </w:p>
    <w:p>
      <w:pPr>
        <w:spacing w:before="160" w:after="80"/>
      </w:pPr>
      <w:r>
        <w:rPr>
          <w:rFonts w:ascii="Calibri" w:hAnsi="Calibri"/>
          <w:b/>
          <w:color w:val="2B2E33"/>
          <w:sz w:val="22"/>
        </w:rPr>
        <w:t>ADR tunnel code</w:t>
      </w:r>
    </w:p>
    <w:p>
      <w:pPr>
        <w:spacing w:before="0" w:after="80"/>
      </w:pPr>
      <w:r>
        <w:rPr>
          <w:rFonts w:ascii="Calibri" w:hAnsi="Calibri"/>
          <w:b w:val="0"/>
          <w:sz w:val="20"/>
        </w:rPr>
        <w:t>D/E</w:t>
      </w:r>
    </w:p>
    <w:p>
      <w:pPr>
        <w:spacing w:before="160" w:after="80"/>
      </w:pPr>
      <w:r>
        <w:rPr>
          <w:rFonts w:ascii="Calibri" w:hAnsi="Calibri"/>
          <w:b/>
          <w:color w:val="2B2E33"/>
          <w:sz w:val="22"/>
        </w:rPr>
        <w:t>IMDG EmS</w:t>
      </w:r>
    </w:p>
    <w:p>
      <w:pPr>
        <w:spacing w:before="0" w:after="80"/>
      </w:pPr>
      <w:r>
        <w:rPr>
          <w:rFonts w:ascii="Calibri" w:hAnsi="Calibri"/>
          <w:b w:val="0"/>
          <w:sz w:val="20"/>
        </w:rPr>
        <w:t>F-E, S-D</w:t>
      </w:r>
    </w:p>
    <w:p>
      <w:pPr>
        <w:spacing w:before="200" w:after="120"/>
        <w:ind w:left="144"/>
        <w:pBdr>
          <w:left w:val="single" w:sz="24" w:color="0071B8" w:space="8"/>
        </w:pBdr>
      </w:pPr>
      <w:r>
        <w:rPr>
          <w:rFonts w:ascii="Calibri" w:hAnsi="Calibri"/>
          <w:b/>
          <w:color w:val="2B2E33"/>
          <w:sz w:val="26"/>
        </w:rPr>
        <w:t xml:space="preserve">  SECTION 15: Regulatory information</w:t>
      </w:r>
    </w:p>
    <w:p>
      <w:pPr>
        <w:spacing w:before="160" w:after="80"/>
      </w:pPr>
      <w:r>
        <w:rPr>
          <w:rFonts w:ascii="Calibri" w:hAnsi="Calibri"/>
          <w:b/>
          <w:color w:val="2B2E33"/>
          <w:sz w:val="22"/>
        </w:rPr>
        <w:t>REACH Annex XVII</w:t>
      </w:r>
    </w:p>
    <w:p>
      <w:pPr>
        <w:spacing w:before="0" w:after="80"/>
      </w:pPr>
      <w:r>
        <w:rPr>
          <w:rFonts w:ascii="Calibri" w:hAnsi="Calibri"/>
          <w:b w:val="0"/>
          <w:sz w:val="20"/>
        </w:rPr>
        <w:t>No restrictions</w:t>
      </w:r>
    </w:p>
    <w:p>
      <w:pPr>
        <w:spacing w:before="160" w:after="80"/>
      </w:pPr>
      <w:r>
        <w:rPr>
          <w:rFonts w:ascii="Calibri" w:hAnsi="Calibri"/>
          <w:b/>
          <w:color w:val="2B2E33"/>
          <w:sz w:val="22"/>
        </w:rPr>
        <w:t>SVHC Candidate List</w:t>
      </w:r>
    </w:p>
    <w:p>
      <w:pPr>
        <w:spacing w:before="0" w:after="80"/>
      </w:pPr>
      <w:r>
        <w:rPr>
          <w:rFonts w:ascii="Calibri" w:hAnsi="Calibri"/>
          <w:b w:val="0"/>
          <w:sz w:val="20"/>
        </w:rPr>
        <w:t>Not listed</w:t>
      </w:r>
    </w:p>
    <w:p>
      <w:pPr>
        <w:spacing w:before="160" w:after="80"/>
      </w:pPr>
      <w:r>
        <w:rPr>
          <w:rFonts w:ascii="Calibri" w:hAnsi="Calibri"/>
          <w:b/>
          <w:color w:val="2B2E33"/>
          <w:sz w:val="22"/>
        </w:rPr>
        <w:t>Annex XIV (Authorisation)</w:t>
      </w:r>
    </w:p>
    <w:p>
      <w:pPr>
        <w:spacing w:before="0" w:after="80"/>
      </w:pPr>
      <w:r>
        <w:rPr>
          <w:rFonts w:ascii="Calibri" w:hAnsi="Calibri"/>
          <w:b w:val="0"/>
          <w:sz w:val="20"/>
        </w:rPr>
        <w:t>Not listed</w:t>
      </w:r>
    </w:p>
    <w:p>
      <w:pPr>
        <w:spacing w:before="160" w:after="80"/>
      </w:pPr>
      <w:r>
        <w:rPr>
          <w:rFonts w:ascii="Calibri" w:hAnsi="Calibri"/>
          <w:b/>
          <w:color w:val="2B2E33"/>
          <w:sz w:val="22"/>
        </w:rPr>
        <w:t>Germany WGK</w:t>
      </w:r>
    </w:p>
    <w:p>
      <w:pPr>
        <w:spacing w:before="0" w:after="80"/>
      </w:pPr>
      <w:r>
        <w:rPr>
          <w:rFonts w:ascii="Calibri" w:hAnsi="Calibri"/>
          <w:b w:val="0"/>
          <w:sz w:val="20"/>
        </w:rPr>
        <w:t>WGK 1 — Slightly hazardous to water</w:t>
      </w:r>
    </w:p>
    <w:p>
      <w:pPr>
        <w:spacing w:before="200" w:after="120"/>
        <w:ind w:left="144"/>
        <w:pBdr>
          <w:left w:val="single" w:sz="24" w:color="0071B8" w:space="8"/>
        </w:pBdr>
      </w:pPr>
      <w:r>
        <w:rPr>
          <w:rFonts w:ascii="Calibri" w:hAnsi="Calibri"/>
          <w:b/>
          <w:color w:val="2B2E33"/>
          <w:sz w:val="26"/>
        </w:rPr>
        <w:t xml:space="preserve">  SECTION 16: Other information</w:t>
      </w:r>
    </w:p>
    <w:p>
      <w:pPr>
        <w:spacing w:before="160" w:after="80"/>
      </w:pPr>
      <w:r>
        <w:rPr>
          <w:rFonts w:ascii="Calibri" w:hAnsi="Calibri"/>
          <w:b/>
          <w:color w:val="2B2E33"/>
          <w:sz w:val="22"/>
        </w:rPr>
        <w:t>H225</w:t>
      </w:r>
    </w:p>
    <w:p>
      <w:pPr>
        <w:spacing w:before="0" w:after="80"/>
      </w:pPr>
      <w:r>
        <w:rPr>
          <w:rFonts w:ascii="Calibri" w:hAnsi="Calibri"/>
          <w:b w:val="0"/>
          <w:sz w:val="20"/>
        </w:rPr>
        <w:t>Highly flammable liquid and vapour.</w:t>
      </w:r>
    </w:p>
    <w:p>
      <w:pPr>
        <w:spacing w:before="160" w:after="80"/>
      </w:pPr>
      <w:r>
        <w:rPr>
          <w:rFonts w:ascii="Calibri" w:hAnsi="Calibri"/>
          <w:b/>
          <w:color w:val="2B2E33"/>
          <w:sz w:val="22"/>
        </w:rPr>
        <w:t>H319</w:t>
      </w:r>
    </w:p>
    <w:p>
      <w:pPr>
        <w:spacing w:before="0" w:after="80"/>
      </w:pPr>
      <w:r>
        <w:rPr>
          <w:rFonts w:ascii="Calibri" w:hAnsi="Calibri"/>
          <w:b w:val="0"/>
          <w:sz w:val="20"/>
        </w:rPr>
        <w:t>Causes serious eye irritation.</w:t>
      </w:r>
    </w:p>
    <w:p>
      <w:pPr>
        <w:spacing w:before="160" w:after="80"/>
      </w:pPr>
      <w:r>
        <w:rPr>
          <w:rFonts w:ascii="Calibri" w:hAnsi="Calibri"/>
          <w:b/>
          <w:color w:val="2B2E33"/>
          <w:sz w:val="22"/>
        </w:rPr>
        <w:t>H336</w:t>
      </w:r>
    </w:p>
    <w:p>
      <w:pPr>
        <w:spacing w:before="0" w:after="80"/>
      </w:pPr>
      <w:r>
        <w:rPr>
          <w:rFonts w:ascii="Calibri" w:hAnsi="Calibri"/>
          <w:b w:val="0"/>
          <w:sz w:val="20"/>
        </w:rPr>
        <w:t>May cause drowsiness or dizziness.</w:t>
      </w:r>
    </w:p>
    <w:p>
      <w:pPr>
        <w:spacing w:before="160" w:after="80"/>
      </w:pPr>
      <w:r>
        <w:rPr>
          <w:rFonts w:ascii="Calibri" w:hAnsi="Calibri"/>
          <w:b/>
          <w:color w:val="2B2E33"/>
          <w:sz w:val="22"/>
        </w:rPr>
        <w:t>EUH066</w:t>
      </w:r>
    </w:p>
    <w:p>
      <w:pPr>
        <w:spacing w:before="0" w:after="80"/>
      </w:pPr>
      <w:r>
        <w:rPr>
          <w:rFonts w:ascii="Calibri" w:hAnsi="Calibri"/>
          <w:b w:val="0"/>
          <w:sz w:val="20"/>
        </w:rPr>
        <w:t>Repeated exposure may cause skin dryness or cracking.</w:t>
      </w:r>
    </w:p>
    <w:p>
      <w:pPr>
        <w:spacing w:before="0" w:after="80"/>
      </w:pPr>
      <w:r>
        <w:rPr>
          <w:rFonts w:ascii="Calibri" w:hAnsi="Calibri"/>
          <w:b w:val="0"/>
          <w:sz w:val="8"/>
        </w:rPr>
      </w:r>
    </w:p>
    <w:p>
      <w:pPr>
        <w:spacing w:before="0" w:after="80"/>
      </w:pPr>
      <w:r>
        <w:rPr>
          <w:rFonts w:ascii="Calibri" w:hAnsi="Calibri"/>
          <w:b/>
          <w:color w:val="5B6670"/>
          <w:sz w:val="16"/>
        </w:rPr>
        <w:t>Disclaimer of Liability:</w:t>
      </w:r>
    </w:p>
    <w:p>
      <w:pPr>
        <w:spacing w:before="0" w:after="80"/>
      </w:pPr>
      <w:r>
        <w:rPr>
          <w:rFonts w:ascii="Calibri" w:hAnsi="Calibri"/>
          <w:b w:val="0"/>
          <w:color w:val="5B6670"/>
          <w:sz w:val="16"/>
        </w:rPr>
        <w:t>The information in this SDS was obtained from sources which we believe are reliable. However, the information is provided without any warranty, express or implied, regarding its correctness. The conditions or methods of handling, storage, use or disposal of the product are beyond our control and may be beyond our knowledge. For this and other reasons, we do not assume responsibility and expressly disclaim liability for loss, damage or expense arising out of or in any way connected with the handling, storage, use or disposal of the product.</w:t>
      </w:r>
    </w:p>
    <w:sectPr w:rsidR="00FC693F" w:rsidRPr="0006063C" w:rsidSect="00034616">
      <w:headerReference w:type="default" r:id="rId9"/>
      <w:footerReference w:type="default" r:id="rId10"/>
      <w:pgSz w:w="11906" w:h="16838"/>
      <w:pgMar w:top="2041" w:right="1247" w:bottom="158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9E1E8"/>
      </w:pBdr>
    </w:pPr>
    <w:r/>
  </w:p>
  <w:p>
    <w:pPr>
      <w:spacing w:before="80" w:after="20"/>
      <w:jc w:val="center"/>
    </w:pPr>
    <w:r>
      <w:rPr>
        <w:rFonts w:ascii="Calibri" w:hAnsi="Calibri"/>
        <w:color w:val="5B6670"/>
        <w:sz w:val="15"/>
      </w:rPr>
      <w:t>Synthesia Ltd.  ·  VAT BG121306542  ·  Todor Radunchev 9, Krivina 1588, Bulgaria  ·  +359 2 974 4968  ·  office@synthesia.bg</w:t>
    </w:r>
  </w:p>
  <w:p>
    <w:pPr>
      <w:spacing w:after="40"/>
      <w:jc w:val="center"/>
    </w:pPr>
    <w:r>
      <w:rPr>
        <w:rFonts w:ascii="Calibri" w:hAnsi="Calibri"/>
        <w:i/>
        <w:color w:val="5B6670"/>
        <w:sz w:val="14"/>
      </w:rPr>
      <w:t>Certified ISO 9001:2015 · ISO 14001:2015 · ISO 45001:2018  —  TÜV Rheinland, ID 9105074744</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vAlign w:val="center"/>
        </w:tcPr>
        <w:p>
          <w:pPr>
            <w:jc w:val="left"/>
          </w:pPr>
          <w:r>
            <w:rPr>
              <w:rFonts w:ascii="Calibri" w:hAnsi="Calibri"/>
              <w:color w:val="5B6670"/>
              <w:sz w:val="16"/>
            </w:rPr>
            <w:t>SDS-2026-014</w:t>
          </w:r>
        </w:p>
      </w:tc>
      <w:tc>
        <w:tcPr>
          <w:tcW w:type="dxa" w:w="4706"/>
          <w:vAlign w:val="center"/>
        </w:tcPr>
        <w:p>
          <w:pPr>
            <w:jc w:val="right"/>
          </w:pPr>
          <w:r>
            <w:rPr>
              <w:rFonts w:ascii="Calibri" w:hAnsi="Calibri"/>
              <w:color w:val="5B6670"/>
              <w:sz w:val="16"/>
            </w:rPr>
            <w:t xml:space="preserve">Page </w:t>
          </w:r>
          <w:r>
            <w:rPr>
              <w:rFonts w:ascii="Calibri" w:hAnsi="Calibri"/>
              <w:color w:val="5B6670"/>
              <w:sz w:val="16"/>
            </w:rPr>
            <w:fldChar w:fldCharType="begin"/>
            <w:instrText xml:space="preserve">PAGE</w:instrText>
            <w:fldChar w:fldCharType="end"/>
          </w:r>
          <w:r>
            <w:rPr>
              <w:rFonts w:ascii="Calibri" w:hAnsi="Calibri"/>
              <w:color w:val="5B6670"/>
              <w:sz w:val="16"/>
            </w:rPr>
            <w:t xml:space="preserve"> of </w:t>
          </w:r>
          <w:r>
            <w:rPr>
              <w:rFonts w:ascii="Calibri" w:hAnsi="Calibri"/>
              <w:color w:val="5B6670"/>
              <w:sz w:val="16"/>
            </w:rPr>
            <w:fldChar w:fldCharType="begin"/>
            <w:instrText xml:space="preserve">NUMPAGES</w:instrText>
            <w:fldChar w:fldCharType="end"/>
          </w:r>
        </w:p>
      </w:tc>
    </w:tr>
  </w:tbl>
  <w:tbl>
    <w:tblPr>
      <w:tblW w:type="auto" w:w="0"/>
      <w:tblLook w:firstColumn="1" w:firstRow="1" w:lastColumn="0" w:lastRow="0" w:noHBand="0" w:noVBand="1" w:val="04A0"/>
      <w:tblBorders>
        <w:top w:val="nil"/>
        <w:left w:val="nil"/>
        <w:bottom w:val="nil"/>
        <w:right w:val="nil"/>
        <w:insideH w:val="nil"/>
        <w:insideV w:val="nil"/>
      </w:tblBorders>
    </w:tblPr>
    <w:tblGrid>
      <w:gridCol w:w="9411"/>
    </w:tblGrid>
    <w:tr>
      <w:trPr>
        <w:trHeight w:val="43200" w:hRule="exact"/>
      </w:trPr>
      <w:tc>
        <w:tcPr>
          <w:tcW w:type="dxa" w:w="9411"/>
          <w:shd w:val="clear" w:color="auto" w:fill="00335F"/>
        </w:tcPr>
        <w:p>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ayout w:type="fixed"/>
      <w:tblLook w:firstColumn="1" w:firstRow="1" w:lastColumn="0" w:lastRow="0" w:noHBand="0" w:noVBand="1" w:val="04A0"/>
      <w:jc w:val="left"/>
      <w:tblBorders>
        <w:top w:val="nil"/>
        <w:left w:val="nil"/>
        <w:bottom w:val="nil"/>
        <w:right w:val="nil"/>
        <w:insideH w:val="nil"/>
        <w:insideV w:val="nil"/>
      </w:tblBorders>
    </w:tblPr>
    <w:tblGrid>
      <w:gridCol w:w="6576"/>
      <w:gridCol w:w="2835"/>
    </w:tblGrid>
    <w:tr>
      <w:tc>
        <w:tcPr>
          <w:tcW w:type="dxa" w:w="6576"/>
          <w:vAlign w:val="center"/>
        </w:tcPr>
        <w:p>
          <w:r>
            <w:drawing>
              <wp:inline xmlns:a="http://schemas.openxmlformats.org/drawingml/2006/main" xmlns:pic="http://schemas.openxmlformats.org/drawingml/2006/picture">
                <wp:extent cx="1125551" cy="540000"/>
                <wp:docPr id="1" name="Picture 1"/>
                <wp:cNvGraphicFramePr>
                  <a:graphicFrameLocks noChangeAspect="1"/>
                </wp:cNvGraphicFramePr>
                <a:graphic>
                  <a:graphicData uri="http://schemas.openxmlformats.org/drawingml/2006/picture">
                    <pic:pic>
                      <pic:nvPicPr>
                        <pic:cNvPr id="0" name="logo_correct.png"/>
                        <pic:cNvPicPr/>
                      </pic:nvPicPr>
                      <pic:blipFill>
                        <a:blip r:embed="rId1"/>
                        <a:stretch>
                          <a:fillRect/>
                        </a:stretch>
                      </pic:blipFill>
                      <pic:spPr>
                        <a:xfrm>
                          <a:off x="0" y="0"/>
                          <a:ext cx="1125551" cy="540000"/>
                        </a:xfrm>
                        <a:prstGeom prst="rect"/>
                      </pic:spPr>
                    </pic:pic>
                  </a:graphicData>
                </a:graphic>
              </wp:inline>
            </w:drawing>
          </w:r>
        </w:p>
      </w:tc>
      <w:tc>
        <w:tcPr>
          <w:tcW w:type="dxa" w:w="2835"/>
          <w:vAlign w:val="center"/>
        </w:tcPr>
        <w:p>
          <w:pPr>
            <w:jc w:val="right"/>
          </w:pPr>
          <w:r>
            <w:drawing>
              <wp:inline xmlns:a="http://schemas.openxmlformats.org/drawingml/2006/main" xmlns:pic="http://schemas.openxmlformats.org/drawingml/2006/picture">
                <wp:extent cx="538221" cy="540000"/>
                <wp:docPr id="2" name="Picture 2"/>
                <wp:cNvGraphicFramePr>
                  <a:graphicFrameLocks noChangeAspect="1"/>
                </wp:cNvGraphicFramePr>
                <a:graphic>
                  <a:graphicData uri="http://schemas.openxmlformats.org/drawingml/2006/picture">
                    <pic:pic>
                      <pic:nvPicPr>
                        <pic:cNvPr id="0" name="iso_seal_only.png"/>
                        <pic:cNvPicPr/>
                      </pic:nvPicPr>
                      <pic:blipFill>
                        <a:blip r:embed="rId2"/>
                        <a:stretch>
                          <a:fillRect/>
                        </a:stretch>
                      </pic:blipFill>
                      <pic:spPr>
                        <a:xfrm>
                          <a:off x="0" y="0"/>
                          <a:ext cx="538221" cy="540000"/>
                        </a:xfrm>
                        <a:prstGeom prst="rect"/>
                      </pic:spPr>
                    </pic:pic>
                  </a:graphicData>
                </a:graphic>
              </wp:inline>
            </w:drawing>
          </w:r>
        </w:p>
      </w:tc>
    </w:tr>
  </w:tbl>
  <w:p>
    <w:pPr>
      <w:spacing w:before="80" w:after="0"/>
      <w:jc w:val="right"/>
    </w:pPr>
    <w:r>
      <w:rPr>
        <w:rFonts w:ascii="Calibri" w:hAnsi="Calibri"/>
        <w:color w:val="5B6670"/>
        <w:sz w:val="16"/>
      </w:rPr>
      <w:t>SDS-2026-014   ·   Rev 3   ·   2026-07-04</w:t>
    </w:r>
  </w:p>
  <w:p>
    <w:pPr>
      <w:spacing w:before="120" w:after="0"/>
      <w:pBdr>
        <w:bottom w:val="single" w:sz="8" w:space="4" w:color="004C98"/>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B2E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