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pBdr>
          <w:bottom w:val="single" w:sz="16" w:space="4" w:color="004C98"/>
        </w:pBdr>
      </w:pPr>
    </w:p>
    <w:p>
      <w:pPr>
        <w:spacing w:after="40"/>
      </w:pPr>
    </w:p>
    <w:p/>
    <w:p/>
    <w:p>
      <w:pPr>
        <w:spacing w:after="80"/>
      </w:pPr>
    </w:p>
    <w:p>
      <w:pPr>
        <w:spacing w:after="40"/>
      </w:pPr>
    </w:p>
    <w:p>
      <w:pPr>
        <w:spacing w:after="120"/>
      </w:pPr>
    </w:p>
    <w:p>
      <w:pPr>
        <w:spacing w:after="40"/>
      </w:pPr>
    </w:p>
    <w:p/>
    <w:p>
      <w:pPr>
        <w:spacing w:before="0" w:after="80"/>
      </w:pPr>
      <w:r>
        <w:rPr>
          <w:rFonts w:ascii="Calibri" w:hAnsi="Calibri"/>
          <w:b w:val="0"/>
          <w:color w:val="2B2E33"/>
          <w:sz w:val="24"/>
        </w:rPr>
        <w:t>Ethyl acetate</w:t>
      </w:r>
    </w:p>
    <w:p>
      <w:pPr>
        <w:spacing w:before="0" w:after="80"/>
      </w:pPr>
      <w:r>
        <w:rPr>
          <w:rFonts w:ascii="Calibri" w:hAnsi="Calibri"/>
          <w:b w:val="0"/>
          <w:sz w:val="20"/>
        </w:rPr>
      </w:r>
    </w:p>
    <w:p>
      <w:pPr>
        <w:spacing w:before="0" w:after="80"/>
      </w:pPr>
      <w:r>
        <w:rPr>
          <w:rFonts w:ascii="Calibri" w:hAnsi="Calibri"/>
          <w:b w:val="0"/>
          <w:color w:val="5B6670"/>
          <w:sz w:val="16"/>
        </w:rPr>
        <w:t>According to Regulation (EU) 2020/878 (REACH Annex II) · CLP (EC) 1272/2008 as amended by EU 2024/2865</w:t>
      </w:r>
    </w:p>
    <w:p>
      <w:pPr>
        <w:spacing w:before="200" w:after="120"/>
        <w:ind w:left="144"/>
        <w:pBdr>
          <w:left w:val="single" w:sz="24" w:color="0071B8" w:space="8"/>
        </w:pBdr>
      </w:pPr>
      <w:r>
        <w:rPr>
          <w:rFonts w:ascii="Calibri" w:hAnsi="Calibri"/>
          <w:b/>
          <w:color w:val="2B2E33"/>
          <w:sz w:val="26"/>
        </w:rPr>
        <w:t>SECTION 1: Identification of the substance/mixture and of the company/undertaking</w:t>
      </w:r>
    </w:p>
    <w:p>
      <w:pPr>
        <w:spacing w:before="160" w:after="80"/>
      </w:pPr>
      <w:r>
        <w:rPr>
          <w:rFonts w:ascii="Calibri" w:hAnsi="Calibri"/>
          <w:b/>
          <w:color w:val="2B2E33"/>
          <w:sz w:val="22"/>
        </w:rPr>
        <w:t>1.1 Product identifier</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Property</w:t>
            </w:r>
          </w:p>
        </w:tc>
        <w:tc>
          <w:tcPr>
            <w:tcW w:type="dxa" w:w="4706"/>
            <w:shd w:val="clear" w:color="auto" w:fill="004C98"/>
          </w:tcPr>
          <w:p>
            <w:r/>
            <w:r>
              <w:rPr>
                <w:rFonts w:ascii="Calibri" w:hAnsi="Calibri"/>
                <w:b/>
                <w:color w:val="FFFFFF"/>
                <w:sz w:val="19"/>
              </w:rPr>
              <w:t>Value</w:t>
            </w:r>
          </w:p>
        </w:tc>
      </w:tr>
      <w:tr>
        <w:tc>
          <w:tcPr>
            <w:tcW w:type="dxa" w:w="4706"/>
          </w:tcPr>
          <w:p>
            <w:r/>
            <w:r>
              <w:rPr>
                <w:rFonts w:ascii="Calibri" w:hAnsi="Calibri"/>
                <w:b/>
                <w:color w:val="2B2E33"/>
                <w:sz w:val="19"/>
              </w:rPr>
              <w:t>Product form</w:t>
            </w:r>
          </w:p>
        </w:tc>
        <w:tc>
          <w:tcPr>
            <w:tcW w:type="dxa" w:w="4706"/>
          </w:tcPr>
          <w:p>
            <w:r/>
            <w:r>
              <w:rPr>
                <w:rFonts w:ascii="Calibri" w:hAnsi="Calibri"/>
                <w:color w:val="2B2E33"/>
                <w:sz w:val="19"/>
              </w:rPr>
              <w:t>Substance</w:t>
            </w:r>
          </w:p>
        </w:tc>
      </w:tr>
      <w:tr>
        <w:tc>
          <w:tcPr>
            <w:tcW w:type="dxa" w:w="4706"/>
            <w:shd w:val="clear" w:color="auto" w:fill="F2F6FA"/>
          </w:tcPr>
          <w:p>
            <w:r/>
            <w:r>
              <w:rPr>
                <w:rFonts w:ascii="Calibri" w:hAnsi="Calibri"/>
                <w:b/>
                <w:color w:val="2B2E33"/>
                <w:sz w:val="19"/>
              </w:rPr>
              <w:t>Chemical name</w:t>
            </w:r>
          </w:p>
        </w:tc>
        <w:tc>
          <w:tcPr>
            <w:tcW w:type="dxa" w:w="4706"/>
            <w:shd w:val="clear" w:color="auto" w:fill="F2F6FA"/>
          </w:tcPr>
          <w:p>
            <w:r/>
            <w:r>
              <w:rPr>
                <w:rFonts w:ascii="Calibri" w:hAnsi="Calibri"/>
                <w:color w:val="2B2E33"/>
                <w:sz w:val="19"/>
              </w:rPr>
              <w:t>Ethyl acetate</w:t>
            </w:r>
          </w:p>
        </w:tc>
      </w:tr>
      <w:tr>
        <w:tc>
          <w:tcPr>
            <w:tcW w:type="dxa" w:w="4706"/>
          </w:tcPr>
          <w:p>
            <w:r/>
            <w:r>
              <w:rPr>
                <w:rFonts w:ascii="Calibri" w:hAnsi="Calibri"/>
                <w:b/>
                <w:color w:val="2B2E33"/>
                <w:sz w:val="19"/>
              </w:rPr>
              <w:t>EC Index-No.</w:t>
            </w:r>
          </w:p>
        </w:tc>
        <w:tc>
          <w:tcPr>
            <w:tcW w:type="dxa" w:w="4706"/>
          </w:tcPr>
          <w:p>
            <w:r/>
            <w:r>
              <w:rPr>
                <w:rFonts w:ascii="Calibri" w:hAnsi="Calibri"/>
                <w:color w:val="2B2E33"/>
                <w:sz w:val="19"/>
              </w:rPr>
              <w:t>607-022-00-5</w:t>
            </w:r>
          </w:p>
        </w:tc>
      </w:tr>
      <w:tr>
        <w:tc>
          <w:tcPr>
            <w:tcW w:type="dxa" w:w="4706"/>
            <w:shd w:val="clear" w:color="auto" w:fill="F2F6FA"/>
          </w:tcPr>
          <w:p>
            <w:r/>
            <w:r>
              <w:rPr>
                <w:rFonts w:ascii="Calibri" w:hAnsi="Calibri"/>
                <w:b/>
                <w:color w:val="2B2E33"/>
                <w:sz w:val="19"/>
              </w:rPr>
              <w:t>EC-No.</w:t>
            </w:r>
          </w:p>
        </w:tc>
        <w:tc>
          <w:tcPr>
            <w:tcW w:type="dxa" w:w="4706"/>
            <w:shd w:val="clear" w:color="auto" w:fill="F2F6FA"/>
          </w:tcPr>
          <w:p>
            <w:r/>
            <w:r>
              <w:rPr>
                <w:rFonts w:ascii="Calibri" w:hAnsi="Calibri"/>
                <w:color w:val="2B2E33"/>
                <w:sz w:val="19"/>
              </w:rPr>
              <w:t>205-500-4</w:t>
            </w:r>
          </w:p>
        </w:tc>
      </w:tr>
      <w:tr>
        <w:tc>
          <w:tcPr>
            <w:tcW w:type="dxa" w:w="4706"/>
          </w:tcPr>
          <w:p>
            <w:r/>
            <w:r>
              <w:rPr>
                <w:rFonts w:ascii="Calibri" w:hAnsi="Calibri"/>
                <w:b/>
                <w:color w:val="2B2E33"/>
                <w:sz w:val="19"/>
              </w:rPr>
              <w:t>CAS-No.</w:t>
            </w:r>
          </w:p>
        </w:tc>
        <w:tc>
          <w:tcPr>
            <w:tcW w:type="dxa" w:w="4706"/>
          </w:tcPr>
          <w:p>
            <w:r/>
            <w:r>
              <w:rPr>
                <w:rFonts w:ascii="Calibri" w:hAnsi="Calibri"/>
                <w:color w:val="2B2E33"/>
                <w:sz w:val="19"/>
              </w:rPr>
              <w:t>141-78-6</w:t>
            </w:r>
          </w:p>
        </w:tc>
      </w:tr>
      <w:tr>
        <w:tc>
          <w:tcPr>
            <w:tcW w:type="dxa" w:w="4706"/>
            <w:shd w:val="clear" w:color="auto" w:fill="F2F6FA"/>
          </w:tcPr>
          <w:p>
            <w:r/>
            <w:r>
              <w:rPr>
                <w:rFonts w:ascii="Calibri" w:hAnsi="Calibri"/>
                <w:b/>
                <w:color w:val="2B2E33"/>
                <w:sz w:val="19"/>
              </w:rPr>
              <w:t>REACH registration No.</w:t>
            </w:r>
          </w:p>
        </w:tc>
        <w:tc>
          <w:tcPr>
            <w:tcW w:type="dxa" w:w="4706"/>
            <w:shd w:val="clear" w:color="auto" w:fill="F2F6FA"/>
          </w:tcPr>
          <w:p>
            <w:r/>
            <w:r>
              <w:rPr>
                <w:rFonts w:ascii="Calibri" w:hAnsi="Calibri"/>
                <w:color w:val="2B2E33"/>
                <w:sz w:val="19"/>
              </w:rPr>
              <w:t>01-2119475103-46-XXXX</w:t>
            </w:r>
          </w:p>
        </w:tc>
      </w:tr>
      <w:tr>
        <w:tc>
          <w:tcPr>
            <w:tcW w:type="dxa" w:w="4706"/>
          </w:tcPr>
          <w:p>
            <w:r/>
            <w:r>
              <w:rPr>
                <w:rFonts w:ascii="Calibri" w:hAnsi="Calibri"/>
                <w:b/>
                <w:color w:val="2B2E33"/>
                <w:sz w:val="19"/>
              </w:rPr>
              <w:t>Molecular formula</w:t>
            </w:r>
          </w:p>
        </w:tc>
        <w:tc>
          <w:tcPr>
            <w:tcW w:type="dxa" w:w="4706"/>
          </w:tcPr>
          <w:p>
            <w:r/>
            <w:r>
              <w:rPr>
                <w:rFonts w:ascii="Calibri" w:hAnsi="Calibri"/>
                <w:color w:val="2B2E33"/>
                <w:sz w:val="19"/>
              </w:rPr>
              <w:t>C₄H₈O₂</w:t>
            </w:r>
          </w:p>
        </w:tc>
      </w:tr>
    </w:tbl>
    <w:p>
      <w:pPr>
        <w:spacing w:before="160" w:after="80"/>
      </w:pPr>
      <w:r>
        <w:rPr>
          <w:rFonts w:ascii="Calibri" w:hAnsi="Calibri"/>
          <w:b/>
          <w:color w:val="2B2E33"/>
          <w:sz w:val="22"/>
        </w:rPr>
        <w:t>1.3 Details of the supplier of the safety data sheet</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Field</w:t>
            </w:r>
          </w:p>
        </w:tc>
        <w:tc>
          <w:tcPr>
            <w:tcW w:type="dxa" w:w="4706"/>
            <w:shd w:val="clear" w:color="auto" w:fill="004C98"/>
          </w:tcPr>
          <w:p>
            <w:r/>
            <w:r>
              <w:rPr>
                <w:rFonts w:ascii="Calibri" w:hAnsi="Calibri"/>
                <w:b/>
                <w:color w:val="FFFFFF"/>
                <w:sz w:val="19"/>
              </w:rPr>
              <w:t>Details</w:t>
            </w:r>
          </w:p>
        </w:tc>
      </w:tr>
      <w:tr>
        <w:tc>
          <w:tcPr>
            <w:tcW w:type="dxa" w:w="4706"/>
          </w:tcPr>
          <w:p>
            <w:r/>
            <w:r>
              <w:rPr>
                <w:rFonts w:ascii="Calibri" w:hAnsi="Calibri"/>
                <w:b/>
                <w:color w:val="2B2E33"/>
                <w:sz w:val="19"/>
              </w:rPr>
              <w:t>Company</w:t>
            </w:r>
          </w:p>
        </w:tc>
        <w:tc>
          <w:tcPr>
            <w:tcW w:type="dxa" w:w="4706"/>
          </w:tcPr>
          <w:p>
            <w:r/>
            <w:r>
              <w:rPr>
                <w:rFonts w:ascii="Calibri" w:hAnsi="Calibri"/>
                <w:color w:val="2B2E33"/>
                <w:sz w:val="19"/>
              </w:rPr>
              <w:t>Synthesia Ltd.</w:t>
            </w:r>
          </w:p>
        </w:tc>
      </w:tr>
      <w:tr>
        <w:tc>
          <w:tcPr>
            <w:tcW w:type="dxa" w:w="4706"/>
            <w:shd w:val="clear" w:color="auto" w:fill="F2F6FA"/>
          </w:tcPr>
          <w:p>
            <w:r/>
            <w:r>
              <w:rPr>
                <w:rFonts w:ascii="Calibri" w:hAnsi="Calibri"/>
                <w:b/>
                <w:color w:val="2B2E33"/>
                <w:sz w:val="19"/>
              </w:rPr>
              <w:t>Address</w:t>
            </w:r>
          </w:p>
        </w:tc>
        <w:tc>
          <w:tcPr>
            <w:tcW w:type="dxa" w:w="4706"/>
            <w:shd w:val="clear" w:color="auto" w:fill="F2F6FA"/>
          </w:tcPr>
          <w:p>
            <w:r/>
            <w:r>
              <w:rPr>
                <w:rFonts w:ascii="Calibri" w:hAnsi="Calibri"/>
                <w:color w:val="2B2E33"/>
                <w:sz w:val="19"/>
              </w:rPr>
              <w:t>Todor Radunchev 9, Krivina 1588, Bulgaria</w:t>
            </w:r>
          </w:p>
        </w:tc>
      </w:tr>
      <w:tr>
        <w:tc>
          <w:tcPr>
            <w:tcW w:type="dxa" w:w="4706"/>
          </w:tcPr>
          <w:p>
            <w:r/>
            <w:r>
              <w:rPr>
                <w:rFonts w:ascii="Calibri" w:hAnsi="Calibri"/>
                <w:b/>
                <w:color w:val="2B2E33"/>
                <w:sz w:val="19"/>
              </w:rPr>
              <w:t>VAT</w:t>
            </w:r>
          </w:p>
        </w:tc>
        <w:tc>
          <w:tcPr>
            <w:tcW w:type="dxa" w:w="4706"/>
          </w:tcPr>
          <w:p>
            <w:r/>
            <w:r>
              <w:rPr>
                <w:rFonts w:ascii="Calibri" w:hAnsi="Calibri"/>
                <w:color w:val="2B2E33"/>
                <w:sz w:val="19"/>
              </w:rPr>
              <w:t>BG121306542</w:t>
            </w:r>
          </w:p>
        </w:tc>
      </w:tr>
      <w:tr>
        <w:tc>
          <w:tcPr>
            <w:tcW w:type="dxa" w:w="4706"/>
            <w:shd w:val="clear" w:color="auto" w:fill="F2F6FA"/>
          </w:tcPr>
          <w:p>
            <w:r/>
            <w:r>
              <w:rPr>
                <w:rFonts w:ascii="Calibri" w:hAnsi="Calibri"/>
                <w:b/>
                <w:color w:val="2B2E33"/>
                <w:sz w:val="19"/>
              </w:rPr>
              <w:t>Phone</w:t>
            </w:r>
          </w:p>
        </w:tc>
        <w:tc>
          <w:tcPr>
            <w:tcW w:type="dxa" w:w="4706"/>
            <w:shd w:val="clear" w:color="auto" w:fill="F2F6FA"/>
          </w:tcPr>
          <w:p>
            <w:r/>
            <w:r>
              <w:rPr>
                <w:rFonts w:ascii="Calibri" w:hAnsi="Calibri"/>
                <w:color w:val="2B2E33"/>
                <w:sz w:val="19"/>
              </w:rPr>
              <w:t>+359 2 974 4968</w:t>
            </w:r>
          </w:p>
        </w:tc>
      </w:tr>
      <w:tr>
        <w:tc>
          <w:tcPr>
            <w:tcW w:type="dxa" w:w="4706"/>
          </w:tcPr>
          <w:p>
            <w:r/>
            <w:r>
              <w:rPr>
                <w:rFonts w:ascii="Calibri" w:hAnsi="Calibri"/>
                <w:b/>
                <w:color w:val="2B2E33"/>
                <w:sz w:val="19"/>
              </w:rPr>
              <w:t>Email</w:t>
            </w:r>
          </w:p>
        </w:tc>
        <w:tc>
          <w:tcPr>
            <w:tcW w:type="dxa" w:w="4706"/>
          </w:tcPr>
          <w:p>
            <w:r/>
            <w:r>
              <w:rPr>
                <w:rFonts w:ascii="Calibri" w:hAnsi="Calibri"/>
                <w:color w:val="2B2E33"/>
                <w:sz w:val="19"/>
              </w:rPr>
              <w:t>office@synthesia.bg</w:t>
            </w:r>
          </w:p>
        </w:tc>
      </w:tr>
    </w:tbl>
    <w:p>
      <w:pPr>
        <w:spacing w:before="160" w:after="80"/>
      </w:pPr>
      <w:r>
        <w:rPr>
          <w:rFonts w:ascii="Calibri" w:hAnsi="Calibri"/>
          <w:b/>
          <w:color w:val="2B2E33"/>
          <w:sz w:val="22"/>
        </w:rPr>
        <w:t>1.4 Emergency telephone number</w:t>
      </w:r>
    </w:p>
    <w:p>
      <w:pPr>
        <w:spacing w:before="0" w:after="80"/>
      </w:pPr>
      <w:r>
        <w:rPr>
          <w:rFonts w:ascii="Calibri" w:hAnsi="Calibri"/>
          <w:b w:val="0"/>
          <w:sz w:val="20"/>
        </w:rPr>
        <w:t>Emergency number: 112</w:t>
      </w:r>
    </w:p>
    <w:p>
      <w:pPr>
        <w:spacing w:before="200" w:after="120"/>
        <w:ind w:left="144"/>
        <w:pBdr>
          <w:left w:val="single" w:sz="24" w:color="0071B8" w:space="8"/>
        </w:pBdr>
      </w:pPr>
      <w:r>
        <w:rPr>
          <w:rFonts w:ascii="Calibri" w:hAnsi="Calibri"/>
          <w:b/>
          <w:color w:val="2B2E33"/>
          <w:sz w:val="26"/>
        </w:rPr>
        <w:t>SECTION 2: Hazards identification</w:t>
      </w:r>
    </w:p>
    <w:p>
      <w:pPr>
        <w:spacing w:before="160" w:after="80"/>
      </w:pPr>
      <w:r>
        <w:rPr>
          <w:rFonts w:ascii="Calibri" w:hAnsi="Calibri"/>
          <w:b/>
          <w:color w:val="2B2E33"/>
          <w:sz w:val="22"/>
        </w:rPr>
        <w:t>2.1 Classification of the substance or mixture</w:t>
      </w:r>
    </w:p>
    <w:tbl>
      <w:tblPr>
        <w:tblStyle w:val="TableGrid"/>
        <w:tblW w:type="auto" w:w="0"/>
        <w:tblLook w:firstColumn="1" w:firstRow="1" w:lastColumn="0" w:lastRow="0" w:noHBand="0" w:noVBand="1" w:val="04A0"/>
      </w:tblPr>
      <w:tblGrid>
        <w:gridCol w:w="3137"/>
        <w:gridCol w:w="3137"/>
        <w:gridCol w:w="3137"/>
      </w:tblGrid>
      <w:tr>
        <w:tc>
          <w:tcPr>
            <w:tcW w:type="dxa" w:w="3137"/>
            <w:shd w:val="clear" w:color="auto" w:fill="004C98"/>
          </w:tcPr>
          <w:p>
            <w:r/>
            <w:r>
              <w:rPr>
                <w:rFonts w:ascii="Calibri" w:hAnsi="Calibri"/>
                <w:b/>
                <w:color w:val="FFFFFF"/>
                <w:sz w:val="19"/>
              </w:rPr>
              <w:t>Hazard class</w:t>
            </w:r>
          </w:p>
        </w:tc>
        <w:tc>
          <w:tcPr>
            <w:tcW w:type="dxa" w:w="3137"/>
            <w:shd w:val="clear" w:color="auto" w:fill="004C98"/>
          </w:tcPr>
          <w:p>
            <w:r/>
            <w:r>
              <w:rPr>
                <w:rFonts w:ascii="Calibri" w:hAnsi="Calibri"/>
                <w:b/>
                <w:color w:val="FFFFFF"/>
                <w:sz w:val="19"/>
              </w:rPr>
              <w:t>Category</w:t>
            </w:r>
          </w:p>
        </w:tc>
        <w:tc>
          <w:tcPr>
            <w:tcW w:type="dxa" w:w="3137"/>
            <w:shd w:val="clear" w:color="auto" w:fill="004C98"/>
          </w:tcPr>
          <w:p>
            <w:r/>
            <w:r>
              <w:rPr>
                <w:rFonts w:ascii="Calibri" w:hAnsi="Calibri"/>
                <w:b/>
                <w:color w:val="FFFFFF"/>
                <w:sz w:val="19"/>
              </w:rPr>
              <w:t>Hazard statement</w:t>
            </w:r>
          </w:p>
        </w:tc>
      </w:tr>
      <w:tr>
        <w:tc>
          <w:tcPr>
            <w:tcW w:type="dxa" w:w="3137"/>
          </w:tcPr>
          <w:p>
            <w:r/>
            <w:r>
              <w:rPr>
                <w:rFonts w:ascii="Calibri" w:hAnsi="Calibri"/>
                <w:b/>
                <w:color w:val="2B2E33"/>
                <w:sz w:val="19"/>
              </w:rPr>
              <w:t>Flammable liquids</w:t>
            </w:r>
          </w:p>
        </w:tc>
        <w:tc>
          <w:tcPr>
            <w:tcW w:type="dxa" w:w="3137"/>
          </w:tcPr>
          <w:p>
            <w:r/>
            <w:r>
              <w:rPr>
                <w:rFonts w:ascii="Calibri" w:hAnsi="Calibri"/>
                <w:color w:val="2B2E33"/>
                <w:sz w:val="19"/>
              </w:rPr>
              <w:t>Category 2</w:t>
            </w:r>
          </w:p>
        </w:tc>
        <w:tc>
          <w:tcPr>
            <w:tcW w:type="dxa" w:w="3137"/>
          </w:tcPr>
          <w:p>
            <w:r/>
            <w:r>
              <w:rPr>
                <w:rFonts w:ascii="Calibri" w:hAnsi="Calibri"/>
                <w:color w:val="2B2E33"/>
                <w:sz w:val="19"/>
              </w:rPr>
              <w:t>H225 — Highly flammable liquid and vapour</w:t>
            </w:r>
          </w:p>
        </w:tc>
      </w:tr>
      <w:tr>
        <w:tc>
          <w:tcPr>
            <w:tcW w:type="dxa" w:w="3137"/>
            <w:shd w:val="clear" w:color="auto" w:fill="F2F6FA"/>
          </w:tcPr>
          <w:p>
            <w:r/>
            <w:r>
              <w:rPr>
                <w:rFonts w:ascii="Calibri" w:hAnsi="Calibri"/>
                <w:b/>
                <w:color w:val="2B2E33"/>
                <w:sz w:val="19"/>
              </w:rPr>
              <w:t>Serious eye damage/eye irritation</w:t>
            </w:r>
          </w:p>
        </w:tc>
        <w:tc>
          <w:tcPr>
            <w:tcW w:type="dxa" w:w="3137"/>
            <w:shd w:val="clear" w:color="auto" w:fill="F2F6FA"/>
          </w:tcPr>
          <w:p>
            <w:r/>
            <w:r>
              <w:rPr>
                <w:rFonts w:ascii="Calibri" w:hAnsi="Calibri"/>
                <w:color w:val="2B2E33"/>
                <w:sz w:val="19"/>
              </w:rPr>
              <w:t>Category 2</w:t>
            </w:r>
          </w:p>
        </w:tc>
        <w:tc>
          <w:tcPr>
            <w:tcW w:type="dxa" w:w="3137"/>
            <w:shd w:val="clear" w:color="auto" w:fill="F2F6FA"/>
          </w:tcPr>
          <w:p>
            <w:r/>
            <w:r>
              <w:rPr>
                <w:rFonts w:ascii="Calibri" w:hAnsi="Calibri"/>
                <w:color w:val="2B2E33"/>
                <w:sz w:val="19"/>
              </w:rPr>
              <w:t>H319 — Causes serious eye irritation</w:t>
            </w:r>
          </w:p>
        </w:tc>
      </w:tr>
      <w:tr>
        <w:tc>
          <w:tcPr>
            <w:tcW w:type="dxa" w:w="3137"/>
          </w:tcPr>
          <w:p>
            <w:r/>
            <w:r>
              <w:rPr>
                <w:rFonts w:ascii="Calibri" w:hAnsi="Calibri"/>
                <w:b/>
                <w:color w:val="2B2E33"/>
                <w:sz w:val="19"/>
              </w:rPr>
              <w:t>STOT — Single exposure</w:t>
            </w:r>
          </w:p>
        </w:tc>
        <w:tc>
          <w:tcPr>
            <w:tcW w:type="dxa" w:w="3137"/>
          </w:tcPr>
          <w:p>
            <w:r/>
            <w:r>
              <w:rPr>
                <w:rFonts w:ascii="Calibri" w:hAnsi="Calibri"/>
                <w:color w:val="2B2E33"/>
                <w:sz w:val="19"/>
              </w:rPr>
              <w:t>Category 3 (Narcosis)</w:t>
            </w:r>
          </w:p>
        </w:tc>
        <w:tc>
          <w:tcPr>
            <w:tcW w:type="dxa" w:w="3137"/>
          </w:tcPr>
          <w:p>
            <w:r/>
            <w:r>
              <w:rPr>
                <w:rFonts w:ascii="Calibri" w:hAnsi="Calibri"/>
                <w:color w:val="2B2E33"/>
                <w:sz w:val="19"/>
              </w:rPr>
              <w:t>H336 — May cause drowsiness or dizziness</w:t>
            </w:r>
          </w:p>
        </w:tc>
      </w:tr>
    </w:tbl>
    <w:p>
      <w:pPr>
        <w:spacing w:before="160" w:after="80"/>
      </w:pPr>
      <w:r>
        <w:rPr>
          <w:rFonts w:ascii="Calibri" w:hAnsi="Calibri"/>
          <w:b/>
          <w:color w:val="2B2E33"/>
          <w:sz w:val="22"/>
        </w:rPr>
        <w:t>2.2 Label elements</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Element</w:t>
            </w:r>
          </w:p>
        </w:tc>
        <w:tc>
          <w:tcPr>
            <w:tcW w:type="dxa" w:w="4706"/>
            <w:shd w:val="clear" w:color="auto" w:fill="004C98"/>
          </w:tcPr>
          <w:p>
            <w:r/>
            <w:r>
              <w:rPr>
                <w:rFonts w:ascii="Calibri" w:hAnsi="Calibri"/>
                <w:b/>
                <w:color w:val="FFFFFF"/>
                <w:sz w:val="19"/>
              </w:rPr>
              <w:t>Details</w:t>
            </w:r>
          </w:p>
        </w:tc>
      </w:tr>
      <w:tr>
        <w:tc>
          <w:tcPr>
            <w:tcW w:type="dxa" w:w="4706"/>
          </w:tcPr>
          <w:p>
            <w:r/>
            <w:r>
              <w:rPr>
                <w:rFonts w:ascii="Calibri" w:hAnsi="Calibri"/>
                <w:b/>
                <w:color w:val="2B2E33"/>
                <w:sz w:val="19"/>
              </w:rPr>
              <w:t>Hazard pictograms</w:t>
            </w:r>
          </w:p>
        </w:tc>
        <w:tc>
          <w:tcPr>
            <w:tcW w:type="dxa" w:w="4706"/>
          </w:tcPr>
          <w:p>
            <w:r/>
            <w:r>
              <w:rPr>
                <w:rFonts w:ascii="Calibri" w:hAnsi="Calibri"/>
                <w:color w:val="2B2E33"/>
                <w:sz w:val="19"/>
              </w:rPr>
              <w:t>GHS02 (Flame) · GHS07 (Exclamation mark)</w:t>
            </w:r>
          </w:p>
        </w:tc>
      </w:tr>
      <w:tr>
        <w:tc>
          <w:tcPr>
            <w:tcW w:type="dxa" w:w="4706"/>
            <w:shd w:val="clear" w:color="auto" w:fill="F2F6FA"/>
          </w:tcPr>
          <w:p>
            <w:r/>
            <w:r>
              <w:rPr>
                <w:rFonts w:ascii="Calibri" w:hAnsi="Calibri"/>
                <w:b/>
                <w:color w:val="2B2E33"/>
                <w:sz w:val="19"/>
              </w:rPr>
              <w:t>Signal word</w:t>
            </w:r>
          </w:p>
        </w:tc>
        <w:tc>
          <w:tcPr>
            <w:tcW w:type="dxa" w:w="4706"/>
            <w:shd w:val="clear" w:color="auto" w:fill="F2F6FA"/>
          </w:tcPr>
          <w:p>
            <w:r/>
            <w:r>
              <w:rPr>
                <w:rFonts w:ascii="Calibri" w:hAnsi="Calibri"/>
                <w:color w:val="2B2E33"/>
                <w:sz w:val="19"/>
              </w:rPr>
              <w:t>DANGER</w:t>
            </w:r>
          </w:p>
        </w:tc>
      </w:tr>
      <w:tr>
        <w:tc>
          <w:tcPr>
            <w:tcW w:type="dxa" w:w="4706"/>
          </w:tcPr>
          <w:p>
            <w:r/>
            <w:r>
              <w:rPr>
                <w:rFonts w:ascii="Calibri" w:hAnsi="Calibri"/>
                <w:b/>
                <w:color w:val="2B2E33"/>
                <w:sz w:val="19"/>
              </w:rPr>
              <w:t>Hazard statements</w:t>
            </w:r>
          </w:p>
        </w:tc>
        <w:tc>
          <w:tcPr>
            <w:tcW w:type="dxa" w:w="4706"/>
          </w:tcPr>
          <w:p>
            <w:r/>
            <w:r>
              <w:rPr>
                <w:rFonts w:ascii="Calibri" w:hAnsi="Calibri"/>
                <w:color w:val="2B2E33"/>
                <w:sz w:val="19"/>
              </w:rPr>
              <w:t>H225 — Highly flammable liquid and vapour.</w:t>
              <w:br/>
              <w:t>H319 — Causes serious eye irritation.</w:t>
              <w:br/>
              <w:t>H336 — May cause drowsiness or dizziness.</w:t>
            </w:r>
          </w:p>
        </w:tc>
      </w:tr>
      <w:tr>
        <w:tc>
          <w:tcPr>
            <w:tcW w:type="dxa" w:w="4706"/>
            <w:shd w:val="clear" w:color="auto" w:fill="F2F6FA"/>
          </w:tcPr>
          <w:p>
            <w:r/>
            <w:r>
              <w:rPr>
                <w:rFonts w:ascii="Calibri" w:hAnsi="Calibri"/>
                <w:b/>
                <w:color w:val="2B2E33"/>
                <w:sz w:val="19"/>
              </w:rPr>
              <w:t>EUH-statements</w:t>
            </w:r>
          </w:p>
        </w:tc>
        <w:tc>
          <w:tcPr>
            <w:tcW w:type="dxa" w:w="4706"/>
            <w:shd w:val="clear" w:color="auto" w:fill="F2F6FA"/>
          </w:tcPr>
          <w:p>
            <w:r/>
            <w:r>
              <w:rPr>
                <w:rFonts w:ascii="Calibri" w:hAnsi="Calibri"/>
                <w:color w:val="2B2E33"/>
                <w:sz w:val="19"/>
              </w:rPr>
              <w:t>EUH066 — Repeated exposure may cause skin dryness or cracking.</w:t>
            </w:r>
          </w:p>
        </w:tc>
      </w:tr>
    </w:tbl>
    <w:p>
      <w:pPr>
        <w:spacing w:before="160" w:after="80"/>
      </w:pPr>
      <w:r>
        <w:rPr>
          <w:rFonts w:ascii="Calibri" w:hAnsi="Calibri"/>
          <w:b/>
          <w:color w:val="2B2E33"/>
          <w:sz w:val="22"/>
        </w:rPr>
        <w:t>2.3 Other hazards</w:t>
      </w:r>
    </w:p>
    <w:p>
      <w:pPr>
        <w:spacing w:before="0" w:after="80"/>
      </w:pPr>
      <w:r>
        <w:rPr>
          <w:rFonts w:ascii="Calibri" w:hAnsi="Calibri"/>
          <w:b w:val="0"/>
          <w:sz w:val="20"/>
        </w:rPr>
        <w:t>This substance does not contain components considered to be PBT, vPvB, PMT, or vPvM at levels of 0.1% or higher, in accordance with CLP regulation as amended by EU 2024/2865 and REACH Annex XIII.</w:t>
      </w:r>
    </w:p>
    <w:p>
      <w:pPr>
        <w:spacing w:before="0" w:after="80"/>
      </w:pPr>
      <w:r>
        <w:rPr>
          <w:rFonts w:ascii="Calibri" w:hAnsi="Calibri"/>
          <w:b w:val="0"/>
          <w:sz w:val="20"/>
        </w:rPr>
        <w:t>Not classified as an endocrine disruptor (ED) according to CLP 2024/2865, Commission Delegated Regulation (EU) 2017/2100, or Commission Regulation (EU) 2018/605.</w:t>
      </w:r>
    </w:p>
    <w:p>
      <w:pPr>
        <w:spacing w:before="0" w:after="80"/>
      </w:pPr>
      <w:r>
        <w:rPr>
          <w:rFonts w:ascii="Calibri" w:hAnsi="Calibri"/>
          <w:b/>
          <w:sz w:val="20"/>
        </w:rPr>
        <w:t>Vapours may form explosive mixture with air.</w:t>
      </w:r>
    </w:p>
    <w:p>
      <w:pPr>
        <w:spacing w:before="200" w:after="120"/>
        <w:ind w:left="144"/>
        <w:pBdr>
          <w:left w:val="single" w:sz="24" w:color="0071B8" w:space="8"/>
        </w:pBdr>
      </w:pPr>
      <w:r>
        <w:rPr>
          <w:rFonts w:ascii="Calibri" w:hAnsi="Calibri"/>
          <w:b/>
          <w:color w:val="2B2E33"/>
          <w:sz w:val="26"/>
        </w:rPr>
        <w:t>SECTION 3: Composition/information on ingredients</w:t>
      </w:r>
    </w:p>
    <w:p>
      <w:pPr>
        <w:spacing w:before="160" w:after="80"/>
      </w:pPr>
      <w:r>
        <w:rPr>
          <w:rFonts w:ascii="Calibri" w:hAnsi="Calibri"/>
          <w:b/>
          <w:color w:val="2B2E33"/>
          <w:sz w:val="22"/>
        </w:rPr>
        <w:t>3.1 Substances</w:t>
      </w:r>
    </w:p>
    <w:tbl>
      <w:tblPr>
        <w:tblStyle w:val="TableGrid"/>
        <w:tblW w:type="auto" w:w="0"/>
        <w:tblLook w:firstColumn="1" w:firstRow="1" w:lastColumn="0" w:lastRow="0" w:noHBand="0" w:noVBand="1" w:val="04A0"/>
      </w:tblPr>
      <w:tblGrid>
        <w:gridCol w:w="1569"/>
        <w:gridCol w:w="1569"/>
        <w:gridCol w:w="1569"/>
        <w:gridCol w:w="1569"/>
        <w:gridCol w:w="1569"/>
        <w:gridCol w:w="1569"/>
      </w:tblGrid>
      <w:tr>
        <w:tc>
          <w:tcPr>
            <w:tcW w:type="dxa" w:w="1569"/>
            <w:shd w:val="clear" w:color="auto" w:fill="004C98"/>
          </w:tcPr>
          <w:p>
            <w:r/>
            <w:r>
              <w:rPr>
                <w:rFonts w:ascii="Calibri" w:hAnsi="Calibri"/>
                <w:b/>
                <w:color w:val="FFFFFF"/>
                <w:sz w:val="19"/>
              </w:rPr>
              <w:t>Component</w:t>
            </w:r>
          </w:p>
        </w:tc>
        <w:tc>
          <w:tcPr>
            <w:tcW w:type="dxa" w:w="1569"/>
            <w:shd w:val="clear" w:color="auto" w:fill="004C98"/>
          </w:tcPr>
          <w:p>
            <w:r/>
            <w:r>
              <w:rPr>
                <w:rFonts w:ascii="Calibri" w:hAnsi="Calibri"/>
                <w:b/>
                <w:color w:val="FFFFFF"/>
                <w:sz w:val="19"/>
              </w:rPr>
              <w:t>CAS-No.</w:t>
            </w:r>
          </w:p>
        </w:tc>
        <w:tc>
          <w:tcPr>
            <w:tcW w:type="dxa" w:w="1569"/>
            <w:shd w:val="clear" w:color="auto" w:fill="004C98"/>
          </w:tcPr>
          <w:p>
            <w:r/>
            <w:r>
              <w:rPr>
                <w:rFonts w:ascii="Calibri" w:hAnsi="Calibri"/>
                <w:b/>
                <w:color w:val="FFFFFF"/>
                <w:sz w:val="19"/>
              </w:rPr>
              <w:t>EC-No.</w:t>
            </w:r>
          </w:p>
        </w:tc>
        <w:tc>
          <w:tcPr>
            <w:tcW w:type="dxa" w:w="1569"/>
            <w:shd w:val="clear" w:color="auto" w:fill="004C98"/>
          </w:tcPr>
          <w:p>
            <w:r/>
            <w:r>
              <w:rPr>
                <w:rFonts w:ascii="Calibri" w:hAnsi="Calibri"/>
                <w:b/>
                <w:color w:val="FFFFFF"/>
                <w:sz w:val="19"/>
              </w:rPr>
              <w:t>Index-No.</w:t>
            </w:r>
          </w:p>
        </w:tc>
        <w:tc>
          <w:tcPr>
            <w:tcW w:type="dxa" w:w="1569"/>
            <w:shd w:val="clear" w:color="auto" w:fill="004C98"/>
          </w:tcPr>
          <w:p>
            <w:r/>
            <w:r>
              <w:rPr>
                <w:rFonts w:ascii="Calibri" w:hAnsi="Calibri"/>
                <w:b/>
                <w:color w:val="FFFFFF"/>
                <w:sz w:val="19"/>
              </w:rPr>
              <w:t>Classification</w:t>
            </w:r>
          </w:p>
        </w:tc>
        <w:tc>
          <w:tcPr>
            <w:tcW w:type="dxa" w:w="1569"/>
            <w:shd w:val="clear" w:color="auto" w:fill="004C98"/>
          </w:tcPr>
          <w:p>
            <w:r/>
            <w:r>
              <w:rPr>
                <w:rFonts w:ascii="Calibri" w:hAnsi="Calibri"/>
                <w:b/>
                <w:color w:val="FFFFFF"/>
                <w:sz w:val="19"/>
              </w:rPr>
              <w:t>Conc.</w:t>
            </w:r>
          </w:p>
        </w:tc>
      </w:tr>
      <w:tr>
        <w:tc>
          <w:tcPr>
            <w:tcW w:type="dxa" w:w="1569"/>
          </w:tcPr>
          <w:p>
            <w:r/>
            <w:r>
              <w:rPr>
                <w:rFonts w:ascii="Calibri" w:hAnsi="Calibri"/>
                <w:b/>
                <w:color w:val="2B2E33"/>
                <w:sz w:val="19"/>
              </w:rPr>
              <w:t>Ethyl acetate</w:t>
            </w:r>
          </w:p>
        </w:tc>
        <w:tc>
          <w:tcPr>
            <w:tcW w:type="dxa" w:w="1569"/>
          </w:tcPr>
          <w:p>
            <w:r/>
            <w:r>
              <w:rPr>
                <w:rFonts w:ascii="Calibri" w:hAnsi="Calibri"/>
                <w:color w:val="2B2E33"/>
                <w:sz w:val="19"/>
              </w:rPr>
              <w:t>141-78-6</w:t>
            </w:r>
          </w:p>
        </w:tc>
        <w:tc>
          <w:tcPr>
            <w:tcW w:type="dxa" w:w="1569"/>
          </w:tcPr>
          <w:p>
            <w:r/>
            <w:r>
              <w:rPr>
                <w:rFonts w:ascii="Calibri" w:hAnsi="Calibri"/>
                <w:color w:val="2B2E33"/>
                <w:sz w:val="19"/>
              </w:rPr>
              <w:t>205-500-4</w:t>
            </w:r>
          </w:p>
        </w:tc>
        <w:tc>
          <w:tcPr>
            <w:tcW w:type="dxa" w:w="1569"/>
          </w:tcPr>
          <w:p>
            <w:r/>
            <w:r>
              <w:rPr>
                <w:rFonts w:ascii="Calibri" w:hAnsi="Calibri"/>
                <w:color w:val="2B2E33"/>
                <w:sz w:val="19"/>
              </w:rPr>
              <w:t>607-022-00-5</w:t>
            </w:r>
          </w:p>
        </w:tc>
        <w:tc>
          <w:tcPr>
            <w:tcW w:type="dxa" w:w="1569"/>
          </w:tcPr>
          <w:p>
            <w:r/>
            <w:r>
              <w:rPr>
                <w:rFonts w:ascii="Calibri" w:hAnsi="Calibri"/>
                <w:color w:val="2B2E33"/>
                <w:sz w:val="19"/>
              </w:rPr>
              <w:t>Flam. Liq. 2; Eye Irrit. 2; STOT SE 3</w:t>
            </w:r>
          </w:p>
        </w:tc>
        <w:tc>
          <w:tcPr>
            <w:tcW w:type="dxa" w:w="1569"/>
          </w:tcPr>
          <w:p>
            <w:r/>
            <w:r>
              <w:rPr>
                <w:rFonts w:ascii="Calibri" w:hAnsi="Calibri"/>
                <w:color w:val="2B2E33"/>
                <w:sz w:val="19"/>
              </w:rPr>
              <w:t>&gt; 99.8%</w:t>
            </w:r>
          </w:p>
        </w:tc>
      </w:tr>
    </w:tbl>
    <w:p>
      <w:pPr>
        <w:spacing w:before="0" w:after="80"/>
      </w:pPr>
      <w:r>
        <w:rPr>
          <w:rFonts w:ascii="Calibri" w:hAnsi="Calibri"/>
          <w:b w:val="0"/>
          <w:sz w:val="20"/>
        </w:rPr>
        <w:t>Molecular weight: 88.11 g/mol | Formula: C₄H₈O₂</w:t>
      </w:r>
    </w:p>
    <w:p>
      <w:pPr>
        <w:spacing w:before="0" w:after="80"/>
      </w:pPr>
      <w:r>
        <w:rPr>
          <w:rFonts w:ascii="Calibri" w:hAnsi="Calibri"/>
          <w:b w:val="0"/>
          <w:sz w:val="20"/>
        </w:rPr>
        <w:t>3.2 Mixtures: Not applicable.</w:t>
      </w:r>
    </w:p>
    <w:p>
      <w:pPr>
        <w:spacing w:before="200" w:after="120"/>
        <w:ind w:left="144"/>
        <w:pBdr>
          <w:left w:val="single" w:sz="24" w:color="0071B8" w:space="8"/>
        </w:pBdr>
      </w:pPr>
      <w:r>
        <w:rPr>
          <w:rFonts w:ascii="Calibri" w:hAnsi="Calibri"/>
          <w:b/>
          <w:color w:val="2B2E33"/>
          <w:sz w:val="26"/>
        </w:rPr>
        <w:t>SECTION 4: First aid measures</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Route</w:t>
            </w:r>
          </w:p>
        </w:tc>
        <w:tc>
          <w:tcPr>
            <w:tcW w:type="dxa" w:w="4706"/>
            <w:shd w:val="clear" w:color="auto" w:fill="004C98"/>
          </w:tcPr>
          <w:p>
            <w:r/>
            <w:r>
              <w:rPr>
                <w:rFonts w:ascii="Calibri" w:hAnsi="Calibri"/>
                <w:b/>
                <w:color w:val="FFFFFF"/>
                <w:sz w:val="19"/>
              </w:rPr>
              <w:t>Measures</w:t>
            </w:r>
          </w:p>
        </w:tc>
      </w:tr>
      <w:tr>
        <w:tc>
          <w:tcPr>
            <w:tcW w:type="dxa" w:w="4706"/>
          </w:tcPr>
          <w:p>
            <w:r/>
            <w:r>
              <w:rPr>
                <w:rFonts w:ascii="Calibri" w:hAnsi="Calibri"/>
                <w:b/>
                <w:color w:val="2B2E33"/>
                <w:sz w:val="19"/>
              </w:rPr>
              <w:t>Inhalation</w:t>
            </w:r>
          </w:p>
        </w:tc>
        <w:tc>
          <w:tcPr>
            <w:tcW w:type="dxa" w:w="4706"/>
          </w:tcPr>
          <w:p>
            <w:r/>
            <w:r>
              <w:rPr>
                <w:rFonts w:ascii="Calibri" w:hAnsi="Calibri"/>
                <w:color w:val="2B2E33"/>
                <w:sz w:val="19"/>
              </w:rPr>
              <w:t>Remove person to fresh air and keep comfortable for breathing.</w:t>
            </w:r>
          </w:p>
        </w:tc>
      </w:tr>
      <w:tr>
        <w:tc>
          <w:tcPr>
            <w:tcW w:type="dxa" w:w="4706"/>
            <w:shd w:val="clear" w:color="auto" w:fill="F2F6FA"/>
          </w:tcPr>
          <w:p>
            <w:r/>
            <w:r>
              <w:rPr>
                <w:rFonts w:ascii="Calibri" w:hAnsi="Calibri"/>
                <w:b/>
                <w:color w:val="2B2E33"/>
                <w:sz w:val="19"/>
              </w:rPr>
              <w:t>Skin contact</w:t>
            </w:r>
          </w:p>
        </w:tc>
        <w:tc>
          <w:tcPr>
            <w:tcW w:type="dxa" w:w="4706"/>
            <w:shd w:val="clear" w:color="auto" w:fill="F2F6FA"/>
          </w:tcPr>
          <w:p>
            <w:r/>
            <w:r>
              <w:rPr>
                <w:rFonts w:ascii="Calibri" w:hAnsi="Calibri"/>
                <w:color w:val="2B2E33"/>
                <w:sz w:val="19"/>
              </w:rPr>
              <w:t>Rinse skin with water/shower. Remove contaminated clothing.</w:t>
            </w:r>
          </w:p>
        </w:tc>
      </w:tr>
      <w:tr>
        <w:tc>
          <w:tcPr>
            <w:tcW w:type="dxa" w:w="4706"/>
          </w:tcPr>
          <w:p>
            <w:r/>
            <w:r>
              <w:rPr>
                <w:rFonts w:ascii="Calibri" w:hAnsi="Calibri"/>
                <w:b/>
                <w:color w:val="2B2E33"/>
                <w:sz w:val="19"/>
              </w:rPr>
              <w:t>Eye contact</w:t>
            </w:r>
          </w:p>
        </w:tc>
        <w:tc>
          <w:tcPr>
            <w:tcW w:type="dxa" w:w="4706"/>
          </w:tcPr>
          <w:p>
            <w:r/>
            <w:r>
              <w:rPr>
                <w:rFonts w:ascii="Calibri" w:hAnsi="Calibri"/>
                <w:color w:val="2B2E33"/>
                <w:sz w:val="19"/>
              </w:rPr>
              <w:t>Rinse cautiously with water for several minutes. Remove contact lenses.</w:t>
            </w:r>
          </w:p>
        </w:tc>
      </w:tr>
      <w:tr>
        <w:tc>
          <w:tcPr>
            <w:tcW w:type="dxa" w:w="4706"/>
            <w:shd w:val="clear" w:color="auto" w:fill="F2F6FA"/>
          </w:tcPr>
          <w:p>
            <w:r/>
            <w:r>
              <w:rPr>
                <w:rFonts w:ascii="Calibri" w:hAnsi="Calibri"/>
                <w:b/>
                <w:color w:val="2B2E33"/>
                <w:sz w:val="19"/>
              </w:rPr>
              <w:t>Ingestion</w:t>
            </w:r>
          </w:p>
        </w:tc>
        <w:tc>
          <w:tcPr>
            <w:tcW w:type="dxa" w:w="4706"/>
            <w:shd w:val="clear" w:color="auto" w:fill="F2F6FA"/>
          </w:tcPr>
          <w:p>
            <w:r/>
            <w:r>
              <w:rPr>
                <w:rFonts w:ascii="Calibri" w:hAnsi="Calibri"/>
                <w:color w:val="2B2E33"/>
                <w:sz w:val="19"/>
              </w:rPr>
              <w:t>Rinse mouth. Do not induce vomiting. Call a poison centre.</w:t>
            </w:r>
          </w:p>
        </w:tc>
      </w:tr>
    </w:tbl>
    <w:p>
      <w:pPr>
        <w:spacing w:before="200" w:after="120"/>
        <w:ind w:left="144"/>
        <w:pBdr>
          <w:left w:val="single" w:sz="24" w:color="0071B8" w:space="8"/>
        </w:pBdr>
      </w:pPr>
      <w:r>
        <w:rPr>
          <w:rFonts w:ascii="Calibri" w:hAnsi="Calibri"/>
          <w:b/>
          <w:color w:val="2B2E33"/>
          <w:sz w:val="26"/>
        </w:rPr>
        <w:t>SECTION 5: Firefighting measures</w:t>
      </w:r>
    </w:p>
    <w:p>
      <w:pPr>
        <w:spacing w:before="0" w:after="80"/>
      </w:pPr>
      <w:r>
        <w:rPr>
          <w:rFonts w:ascii="Calibri" w:hAnsi="Calibri"/>
          <w:b w:val="0"/>
          <w:sz w:val="20"/>
        </w:rPr>
        <w:t>Suitable extinguishing media: Water spray, dry powder, foam, CO₂.</w:t>
      </w:r>
    </w:p>
    <w:p>
      <w:pPr>
        <w:spacing w:before="0" w:after="80"/>
      </w:pPr>
      <w:r>
        <w:rPr>
          <w:rFonts w:ascii="Calibri" w:hAnsi="Calibri"/>
          <w:b w:val="0"/>
          <w:sz w:val="20"/>
        </w:rPr>
        <w:t>Unsuitable: High volume water jet.</w:t>
      </w:r>
    </w:p>
    <w:p>
      <w:pPr>
        <w:spacing w:before="0" w:after="80"/>
      </w:pPr>
      <w:r>
        <w:rPr>
          <w:rFonts w:ascii="Calibri" w:hAnsi="Calibri"/>
          <w:b w:val="0"/>
          <w:sz w:val="20"/>
        </w:rPr>
        <w:t>Special hazards: Highly flammable liquid and vapour. Toxic fumes (carbon oxides).</w:t>
      </w:r>
    </w:p>
    <w:p>
      <w:pPr>
        <w:spacing w:before="200" w:after="120"/>
        <w:ind w:left="144"/>
        <w:pBdr>
          <w:left w:val="single" w:sz="24" w:color="0071B8" w:space="8"/>
        </w:pBdr>
      </w:pPr>
      <w:r>
        <w:rPr>
          <w:rFonts w:ascii="Calibri" w:hAnsi="Calibri"/>
          <w:b/>
          <w:color w:val="2B2E33"/>
          <w:sz w:val="26"/>
        </w:rPr>
        <w:t>SECTION 6: Accidental release measures</w:t>
      </w:r>
    </w:p>
    <w:p>
      <w:pPr>
        <w:spacing w:before="0" w:after="80"/>
      </w:pPr>
      <w:r>
        <w:rPr>
          <w:rFonts w:ascii="Calibri" w:hAnsi="Calibri"/>
          <w:b w:val="0"/>
          <w:sz w:val="20"/>
        </w:rPr>
        <w:t>Personal precautions: Wear PPE. Ventilate area. No open flames. Avoid vapours.</w:t>
      </w:r>
    </w:p>
    <w:p>
      <w:pPr>
        <w:spacing w:before="0" w:after="80"/>
      </w:pPr>
      <w:r>
        <w:rPr>
          <w:rFonts w:ascii="Calibri" w:hAnsi="Calibri"/>
          <w:b w:val="0"/>
          <w:sz w:val="20"/>
        </w:rPr>
        <w:t>Environmental precautions: Avoid release to the environment.</w:t>
      </w:r>
    </w:p>
    <w:p>
      <w:pPr>
        <w:spacing w:before="0" w:after="80"/>
      </w:pPr>
      <w:r>
        <w:rPr>
          <w:rFonts w:ascii="Calibri" w:hAnsi="Calibri"/>
          <w:b w:val="0"/>
          <w:sz w:val="20"/>
        </w:rPr>
        <w:t>Containment: Take up with absorbent material. Notify authorities if entering sewers/waters.</w:t>
      </w:r>
    </w:p>
    <w:p>
      <w:pPr>
        <w:spacing w:before="200" w:after="120"/>
        <w:ind w:left="144"/>
        <w:pBdr>
          <w:left w:val="single" w:sz="24" w:color="0071B8" w:space="8"/>
        </w:pBdr>
      </w:pPr>
      <w:r>
        <w:rPr>
          <w:rFonts w:ascii="Calibri" w:hAnsi="Calibri"/>
          <w:b/>
          <w:color w:val="2B2E33"/>
          <w:sz w:val="26"/>
        </w:rPr>
        <w:t>SECTION 7: Handling and storage</w:t>
      </w:r>
    </w:p>
    <w:p>
      <w:pPr>
        <w:spacing w:before="0" w:after="80"/>
      </w:pPr>
      <w:r>
        <w:rPr>
          <w:rFonts w:ascii="Calibri" w:hAnsi="Calibri"/>
          <w:b w:val="0"/>
          <w:sz w:val="20"/>
        </w:rPr>
        <w:t>Keep away from heat, sparks, open flames. Ground/bond container. Use non-sparking tools. Explosion-proof equipment.</w:t>
      </w:r>
    </w:p>
    <w:p>
      <w:pPr>
        <w:spacing w:before="0" w:after="80"/>
      </w:pPr>
      <w:r>
        <w:rPr>
          <w:rFonts w:ascii="Calibri" w:hAnsi="Calibri"/>
          <w:b w:val="0"/>
          <w:sz w:val="20"/>
        </w:rPr>
        <w:t>Storage: Well-ventilated place. Keep cool. Keep container tightly closed. Store locked up.</w:t>
      </w:r>
    </w:p>
    <w:p>
      <w:pPr>
        <w:spacing w:before="200" w:after="120"/>
        <w:ind w:left="144"/>
        <w:pBdr>
          <w:left w:val="single" w:sz="24" w:color="0071B8" w:space="8"/>
        </w:pBdr>
      </w:pPr>
      <w:r>
        <w:rPr>
          <w:rFonts w:ascii="Calibri" w:hAnsi="Calibri"/>
          <w:b/>
          <w:color w:val="2B2E33"/>
          <w:sz w:val="26"/>
        </w:rPr>
        <w:t>SECTION 8: Exposure controls/personal protection</w:t>
      </w:r>
    </w:p>
    <w:p>
      <w:pPr>
        <w:spacing w:before="0" w:after="80"/>
      </w:pPr>
      <w:r>
        <w:rPr>
          <w:rFonts w:ascii="Calibri" w:hAnsi="Calibri"/>
          <w:b w:val="0"/>
          <w:sz w:val="20"/>
        </w:rPr>
        <w:t>OEL TWA: 734 mg/m³ (200 ppm) | OEL STEL: 1,468 mg/m³ (400 ppm) | Ref: Directive (EU) 2017/164 · SCOEL 2008</w:t>
      </w:r>
    </w:p>
    <w:p>
      <w:pPr>
        <w:spacing w:before="0" w:after="80"/>
      </w:pPr>
      <w:r>
        <w:rPr>
          <w:rFonts w:ascii="Calibri" w:hAnsi="Calibri"/>
          <w:b w:val="0"/>
          <w:sz w:val="20"/>
        </w:rPr>
        <w:t>PPE: Gloves, safety glasses, protective clothing. Respiratory protection if ventilation insufficient.</w:t>
      </w:r>
    </w:p>
    <w:p>
      <w:pPr>
        <w:spacing w:before="200" w:after="120"/>
        <w:ind w:left="144"/>
        <w:pBdr>
          <w:left w:val="single" w:sz="24" w:color="0071B8" w:space="8"/>
        </w:pBdr>
      </w:pPr>
      <w:r>
        <w:rPr>
          <w:rFonts w:ascii="Calibri" w:hAnsi="Calibri"/>
          <w:b/>
          <w:color w:val="2B2E33"/>
          <w:sz w:val="26"/>
        </w:rPr>
        <w:t>SECTION 9: Physical and chemical properties</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Property</w:t>
            </w:r>
          </w:p>
        </w:tc>
        <w:tc>
          <w:tcPr>
            <w:tcW w:type="dxa" w:w="4706"/>
            <w:shd w:val="clear" w:color="auto" w:fill="004C98"/>
          </w:tcPr>
          <w:p>
            <w:r/>
            <w:r>
              <w:rPr>
                <w:rFonts w:ascii="Calibri" w:hAnsi="Calibri"/>
                <w:b/>
                <w:color w:val="FFFFFF"/>
                <w:sz w:val="19"/>
              </w:rPr>
              <w:t>Value</w:t>
            </w:r>
          </w:p>
        </w:tc>
      </w:tr>
      <w:tr>
        <w:tc>
          <w:tcPr>
            <w:tcW w:type="dxa" w:w="4706"/>
          </w:tcPr>
          <w:p>
            <w:r/>
            <w:r>
              <w:rPr>
                <w:rFonts w:ascii="Calibri" w:hAnsi="Calibri"/>
                <w:b/>
                <w:color w:val="2B2E33"/>
                <w:sz w:val="19"/>
              </w:rPr>
              <w:t>Physical state</w:t>
            </w:r>
          </w:p>
        </w:tc>
        <w:tc>
          <w:tcPr>
            <w:tcW w:type="dxa" w:w="4706"/>
          </w:tcPr>
          <w:p>
            <w:r/>
            <w:r>
              <w:rPr>
                <w:rFonts w:ascii="Calibri" w:hAnsi="Calibri"/>
                <w:color w:val="2B2E33"/>
                <w:sz w:val="19"/>
              </w:rPr>
              <w:t>Liquid</w:t>
            </w:r>
          </w:p>
        </w:tc>
      </w:tr>
      <w:tr>
        <w:tc>
          <w:tcPr>
            <w:tcW w:type="dxa" w:w="4706"/>
            <w:shd w:val="clear" w:color="auto" w:fill="F2F6FA"/>
          </w:tcPr>
          <w:p>
            <w:r/>
            <w:r>
              <w:rPr>
                <w:rFonts w:ascii="Calibri" w:hAnsi="Calibri"/>
                <w:b/>
                <w:color w:val="2B2E33"/>
                <w:sz w:val="19"/>
              </w:rPr>
              <w:t>Appearance</w:t>
            </w:r>
          </w:p>
        </w:tc>
        <w:tc>
          <w:tcPr>
            <w:tcW w:type="dxa" w:w="4706"/>
            <w:shd w:val="clear" w:color="auto" w:fill="F2F6FA"/>
          </w:tcPr>
          <w:p>
            <w:r/>
            <w:r>
              <w:rPr>
                <w:rFonts w:ascii="Calibri" w:hAnsi="Calibri"/>
                <w:color w:val="2B2E33"/>
                <w:sz w:val="19"/>
              </w:rPr>
              <w:t>Colourless, clear</w:t>
            </w:r>
          </w:p>
        </w:tc>
      </w:tr>
      <w:tr>
        <w:tc>
          <w:tcPr>
            <w:tcW w:type="dxa" w:w="4706"/>
          </w:tcPr>
          <w:p>
            <w:r/>
            <w:r>
              <w:rPr>
                <w:rFonts w:ascii="Calibri" w:hAnsi="Calibri"/>
                <w:b/>
                <w:color w:val="2B2E33"/>
                <w:sz w:val="19"/>
              </w:rPr>
              <w:t>Odour</w:t>
            </w:r>
          </w:p>
        </w:tc>
        <w:tc>
          <w:tcPr>
            <w:tcW w:type="dxa" w:w="4706"/>
          </w:tcPr>
          <w:p>
            <w:r/>
            <w:r>
              <w:rPr>
                <w:rFonts w:ascii="Calibri" w:hAnsi="Calibri"/>
                <w:color w:val="2B2E33"/>
                <w:sz w:val="19"/>
              </w:rPr>
              <w:t>Fruity</w:t>
            </w:r>
          </w:p>
        </w:tc>
      </w:tr>
      <w:tr>
        <w:tc>
          <w:tcPr>
            <w:tcW w:type="dxa" w:w="4706"/>
            <w:shd w:val="clear" w:color="auto" w:fill="F2F6FA"/>
          </w:tcPr>
          <w:p>
            <w:r/>
            <w:r>
              <w:rPr>
                <w:rFonts w:ascii="Calibri" w:hAnsi="Calibri"/>
                <w:b/>
                <w:color w:val="2B2E33"/>
                <w:sz w:val="19"/>
              </w:rPr>
              <w:t>Melting point</w:t>
            </w:r>
          </w:p>
        </w:tc>
        <w:tc>
          <w:tcPr>
            <w:tcW w:type="dxa" w:w="4706"/>
            <w:shd w:val="clear" w:color="auto" w:fill="F2F6FA"/>
          </w:tcPr>
          <w:p>
            <w:r/>
            <w:r>
              <w:rPr>
                <w:rFonts w:ascii="Calibri" w:hAnsi="Calibri"/>
                <w:color w:val="2B2E33"/>
                <w:sz w:val="19"/>
              </w:rPr>
              <w:t>-84 °C</w:t>
            </w:r>
          </w:p>
        </w:tc>
      </w:tr>
      <w:tr>
        <w:tc>
          <w:tcPr>
            <w:tcW w:type="dxa" w:w="4706"/>
          </w:tcPr>
          <w:p>
            <w:r/>
            <w:r>
              <w:rPr>
                <w:rFonts w:ascii="Calibri" w:hAnsi="Calibri"/>
                <w:b/>
                <w:color w:val="2B2E33"/>
                <w:sz w:val="19"/>
              </w:rPr>
              <w:t>Boiling range</w:t>
            </w:r>
          </w:p>
        </w:tc>
        <w:tc>
          <w:tcPr>
            <w:tcW w:type="dxa" w:w="4706"/>
          </w:tcPr>
          <w:p>
            <w:r/>
            <w:r>
              <w:rPr>
                <w:rFonts w:ascii="Calibri" w:hAnsi="Calibri"/>
                <w:color w:val="2B2E33"/>
                <w:sz w:val="19"/>
              </w:rPr>
              <w:t>76.5 – 77.5 °C</w:t>
            </w:r>
          </w:p>
        </w:tc>
      </w:tr>
      <w:tr>
        <w:tc>
          <w:tcPr>
            <w:tcW w:type="dxa" w:w="4706"/>
            <w:shd w:val="clear" w:color="auto" w:fill="F2F6FA"/>
          </w:tcPr>
          <w:p>
            <w:r/>
            <w:r>
              <w:rPr>
                <w:rFonts w:ascii="Calibri" w:hAnsi="Calibri"/>
                <w:b/>
                <w:color w:val="2B2E33"/>
                <w:sz w:val="19"/>
              </w:rPr>
              <w:t>Flash point</w:t>
            </w:r>
          </w:p>
        </w:tc>
        <w:tc>
          <w:tcPr>
            <w:tcW w:type="dxa" w:w="4706"/>
            <w:shd w:val="clear" w:color="auto" w:fill="F2F6FA"/>
          </w:tcPr>
          <w:p>
            <w:r/>
            <w:r>
              <w:rPr>
                <w:rFonts w:ascii="Calibri" w:hAnsi="Calibri"/>
                <w:color w:val="2B2E33"/>
                <w:sz w:val="19"/>
              </w:rPr>
              <w:t>-4 °C</w:t>
            </w:r>
          </w:p>
        </w:tc>
      </w:tr>
      <w:tr>
        <w:tc>
          <w:tcPr>
            <w:tcW w:type="dxa" w:w="4706"/>
          </w:tcPr>
          <w:p>
            <w:r/>
            <w:r>
              <w:rPr>
                <w:rFonts w:ascii="Calibri" w:hAnsi="Calibri"/>
                <w:b/>
                <w:color w:val="2B2E33"/>
                <w:sz w:val="19"/>
              </w:rPr>
              <w:t>Auto-ignition</w:t>
            </w:r>
          </w:p>
        </w:tc>
        <w:tc>
          <w:tcPr>
            <w:tcW w:type="dxa" w:w="4706"/>
          </w:tcPr>
          <w:p>
            <w:r/>
            <w:r>
              <w:rPr>
                <w:rFonts w:ascii="Calibri" w:hAnsi="Calibri"/>
                <w:color w:val="2B2E33"/>
                <w:sz w:val="19"/>
              </w:rPr>
              <w:t>426 °C</w:t>
            </w:r>
          </w:p>
        </w:tc>
      </w:tr>
      <w:tr>
        <w:tc>
          <w:tcPr>
            <w:tcW w:type="dxa" w:w="4706"/>
            <w:shd w:val="clear" w:color="auto" w:fill="F2F6FA"/>
          </w:tcPr>
          <w:p>
            <w:r/>
            <w:r>
              <w:rPr>
                <w:rFonts w:ascii="Calibri" w:hAnsi="Calibri"/>
                <w:b/>
                <w:color w:val="2B2E33"/>
                <w:sz w:val="19"/>
              </w:rPr>
              <w:t>Flammability limits</w:t>
            </w:r>
          </w:p>
        </w:tc>
        <w:tc>
          <w:tcPr>
            <w:tcW w:type="dxa" w:w="4706"/>
            <w:shd w:val="clear" w:color="auto" w:fill="F2F6FA"/>
          </w:tcPr>
          <w:p>
            <w:r/>
            <w:r>
              <w:rPr>
                <w:rFonts w:ascii="Calibri" w:hAnsi="Calibri"/>
                <w:color w:val="2B2E33"/>
                <w:sz w:val="19"/>
              </w:rPr>
              <w:t>2 – 11.5 vol %</w:t>
            </w:r>
          </w:p>
        </w:tc>
      </w:tr>
      <w:tr>
        <w:tc>
          <w:tcPr>
            <w:tcW w:type="dxa" w:w="4706"/>
          </w:tcPr>
          <w:p>
            <w:r/>
            <w:r>
              <w:rPr>
                <w:rFonts w:ascii="Calibri" w:hAnsi="Calibri"/>
                <w:b/>
                <w:color w:val="2B2E33"/>
                <w:sz w:val="19"/>
              </w:rPr>
              <w:t>Vapour pressure</w:t>
            </w:r>
          </w:p>
        </w:tc>
        <w:tc>
          <w:tcPr>
            <w:tcW w:type="dxa" w:w="4706"/>
          </w:tcPr>
          <w:p>
            <w:r/>
            <w:r>
              <w:rPr>
                <w:rFonts w:ascii="Calibri" w:hAnsi="Calibri"/>
                <w:color w:val="2B2E33"/>
                <w:sz w:val="19"/>
              </w:rPr>
              <w:t>73 mm Hg (20 °C)</w:t>
            </w:r>
          </w:p>
        </w:tc>
      </w:tr>
      <w:tr>
        <w:tc>
          <w:tcPr>
            <w:tcW w:type="dxa" w:w="4706"/>
            <w:shd w:val="clear" w:color="auto" w:fill="F2F6FA"/>
          </w:tcPr>
          <w:p>
            <w:r/>
            <w:r>
              <w:rPr>
                <w:rFonts w:ascii="Calibri" w:hAnsi="Calibri"/>
                <w:b/>
                <w:color w:val="2B2E33"/>
                <w:sz w:val="19"/>
              </w:rPr>
              <w:t>Density</w:t>
            </w:r>
          </w:p>
        </w:tc>
        <w:tc>
          <w:tcPr>
            <w:tcW w:type="dxa" w:w="4706"/>
            <w:shd w:val="clear" w:color="auto" w:fill="F2F6FA"/>
          </w:tcPr>
          <w:p>
            <w:r/>
            <w:r>
              <w:rPr>
                <w:rFonts w:ascii="Calibri" w:hAnsi="Calibri"/>
                <w:color w:val="2B2E33"/>
                <w:sz w:val="19"/>
              </w:rPr>
              <w:t>0.902 g/cm³ (20 °C)</w:t>
            </w:r>
          </w:p>
        </w:tc>
      </w:tr>
      <w:tr>
        <w:tc>
          <w:tcPr>
            <w:tcW w:type="dxa" w:w="4706"/>
          </w:tcPr>
          <w:p>
            <w:r/>
            <w:r>
              <w:rPr>
                <w:rFonts w:ascii="Calibri" w:hAnsi="Calibri"/>
                <w:b/>
                <w:color w:val="2B2E33"/>
                <w:sz w:val="19"/>
              </w:rPr>
              <w:t>Solubility (water)</w:t>
            </w:r>
          </w:p>
        </w:tc>
        <w:tc>
          <w:tcPr>
            <w:tcW w:type="dxa" w:w="4706"/>
          </w:tcPr>
          <w:p>
            <w:r/>
            <w:r>
              <w:rPr>
                <w:rFonts w:ascii="Calibri" w:hAnsi="Calibri"/>
                <w:color w:val="2B2E33"/>
                <w:sz w:val="19"/>
              </w:rPr>
              <w:t>8 g/100 ml (25 °C)</w:t>
            </w:r>
          </w:p>
        </w:tc>
      </w:tr>
      <w:tr>
        <w:tc>
          <w:tcPr>
            <w:tcW w:type="dxa" w:w="4706"/>
            <w:shd w:val="clear" w:color="auto" w:fill="F2F6FA"/>
          </w:tcPr>
          <w:p>
            <w:r/>
            <w:r>
              <w:rPr>
                <w:rFonts w:ascii="Calibri" w:hAnsi="Calibri"/>
                <w:b/>
                <w:color w:val="2B2E33"/>
                <w:sz w:val="19"/>
              </w:rPr>
              <w:t>log Pow</w:t>
            </w:r>
          </w:p>
        </w:tc>
        <w:tc>
          <w:tcPr>
            <w:tcW w:type="dxa" w:w="4706"/>
            <w:shd w:val="clear" w:color="auto" w:fill="F2F6FA"/>
          </w:tcPr>
          <w:p>
            <w:r/>
            <w:r>
              <w:rPr>
                <w:rFonts w:ascii="Calibri" w:hAnsi="Calibri"/>
                <w:color w:val="2B2E33"/>
                <w:sz w:val="19"/>
              </w:rPr>
              <w:t>0.73</w:t>
            </w:r>
          </w:p>
        </w:tc>
      </w:tr>
      <w:tr>
        <w:tc>
          <w:tcPr>
            <w:tcW w:type="dxa" w:w="4706"/>
          </w:tcPr>
          <w:p>
            <w:r/>
            <w:r>
              <w:rPr>
                <w:rFonts w:ascii="Calibri" w:hAnsi="Calibri"/>
                <w:b/>
                <w:color w:val="2B2E33"/>
                <w:sz w:val="19"/>
              </w:rPr>
              <w:t>Viscosity</w:t>
            </w:r>
          </w:p>
        </w:tc>
        <w:tc>
          <w:tcPr>
            <w:tcW w:type="dxa" w:w="4706"/>
          </w:tcPr>
          <w:p>
            <w:r/>
            <w:r>
              <w:rPr>
                <w:rFonts w:ascii="Calibri" w:hAnsi="Calibri"/>
                <w:color w:val="2B2E33"/>
                <w:sz w:val="19"/>
              </w:rPr>
              <w:t>0.45 mPa·s (20 °C)</w:t>
            </w:r>
          </w:p>
        </w:tc>
      </w:tr>
    </w:tbl>
    <w:p>
      <w:pPr>
        <w:spacing w:before="200" w:after="120"/>
        <w:ind w:left="144"/>
        <w:pBdr>
          <w:left w:val="single" w:sz="24" w:color="0071B8" w:space="8"/>
        </w:pBdr>
      </w:pPr>
      <w:r>
        <w:rPr>
          <w:rFonts w:ascii="Calibri" w:hAnsi="Calibri"/>
          <w:b/>
          <w:color w:val="2B2E33"/>
          <w:sz w:val="26"/>
        </w:rPr>
        <w:t>SECTION 10: Stability and reactivity</w:t>
      </w:r>
    </w:p>
    <w:p>
      <w:pPr>
        <w:spacing w:before="0" w:after="80"/>
      </w:pPr>
      <w:r>
        <w:rPr>
          <w:rFonts w:ascii="Calibri" w:hAnsi="Calibri"/>
          <w:b w:val="0"/>
          <w:sz w:val="20"/>
        </w:rPr>
        <w:t>Reactivity: Highly flammable liquid and vapour.</w:t>
      </w:r>
    </w:p>
    <w:p>
      <w:pPr>
        <w:spacing w:before="0" w:after="80"/>
      </w:pPr>
      <w:r>
        <w:rPr>
          <w:rFonts w:ascii="Calibri" w:hAnsi="Calibri"/>
          <w:b w:val="0"/>
          <w:sz w:val="20"/>
        </w:rPr>
        <w:t>Stability: Stable under normal conditions.</w:t>
      </w:r>
    </w:p>
    <w:p>
      <w:pPr>
        <w:spacing w:before="0" w:after="80"/>
      </w:pPr>
      <w:r>
        <w:rPr>
          <w:rFonts w:ascii="Calibri" w:hAnsi="Calibri"/>
          <w:b w:val="0"/>
          <w:sz w:val="20"/>
        </w:rPr>
        <w:t>Conditions to avoid: Heat, open flames, sparks, ignition sources.</w:t>
      </w:r>
    </w:p>
    <w:p>
      <w:pPr>
        <w:spacing w:before="200" w:after="120"/>
        <w:ind w:left="144"/>
        <w:pBdr>
          <w:left w:val="single" w:sz="24" w:color="0071B8" w:space="8"/>
        </w:pBdr>
      </w:pPr>
      <w:r>
        <w:rPr>
          <w:rFonts w:ascii="Calibri" w:hAnsi="Calibri"/>
          <w:b/>
          <w:color w:val="2B2E33"/>
          <w:sz w:val="26"/>
        </w:rPr>
        <w:t>SECTION 11: Toxicological information</w:t>
      </w:r>
    </w:p>
    <w:p>
      <w:pPr>
        <w:spacing w:before="0" w:after="80"/>
      </w:pPr>
      <w:r>
        <w:rPr>
          <w:rFonts w:ascii="Calibri" w:hAnsi="Calibri"/>
          <w:b w:val="0"/>
          <w:sz w:val="20"/>
        </w:rPr>
        <w:t>Acute toxicity: Not classified.</w:t>
      </w:r>
    </w:p>
    <w:p>
      <w:pPr>
        <w:spacing w:before="0" w:after="80"/>
      </w:pPr>
      <w:r>
        <w:rPr>
          <w:rFonts w:ascii="Calibri" w:hAnsi="Calibri"/>
          <w:b w:val="0"/>
          <w:sz w:val="20"/>
        </w:rPr>
        <w:t>LD50 oral (rabbit): 5,620 mg/kg bw (rabbit)</w:t>
      </w:r>
    </w:p>
    <w:p>
      <w:pPr>
        <w:spacing w:before="0" w:after="80"/>
      </w:pPr>
      <w:r>
        <w:rPr>
          <w:rFonts w:ascii="Calibri" w:hAnsi="Calibri"/>
          <w:b w:val="0"/>
          <w:sz w:val="20"/>
        </w:rPr>
        <w:t>LD50 dermal (rat): &gt; 18,000 mg/kg bw (rat)</w:t>
      </w:r>
    </w:p>
    <w:p>
      <w:pPr>
        <w:spacing w:before="0" w:after="80"/>
      </w:pPr>
      <w:r>
        <w:rPr>
          <w:rFonts w:ascii="Calibri" w:hAnsi="Calibri"/>
          <w:b w:val="0"/>
          <w:sz w:val="20"/>
        </w:rPr>
        <w:t>LC50 inhalation (rat): 1.600 mg/l/4h (rat)</w:t>
      </w:r>
    </w:p>
    <w:p>
      <w:pPr>
        <w:spacing w:before="0" w:after="80"/>
      </w:pPr>
      <w:r>
        <w:rPr>
          <w:rFonts w:ascii="Calibri" w:hAnsi="Calibri"/>
          <w:b w:val="0"/>
          <w:sz w:val="20"/>
        </w:rPr>
        <w:t>Eye irritation: Category 2 — Causes serious eye irritation.</w:t>
      </w:r>
    </w:p>
    <w:p>
      <w:pPr>
        <w:spacing w:before="0" w:after="80"/>
      </w:pPr>
      <w:r>
        <w:rPr>
          <w:rFonts w:ascii="Calibri" w:hAnsi="Calibri"/>
          <w:b w:val="0"/>
          <w:sz w:val="20"/>
        </w:rPr>
        <w:t>STOT SE: Category 3 — May cause drowsiness or dizziness.</w:t>
      </w:r>
    </w:p>
    <w:p>
      <w:pPr>
        <w:spacing w:before="0" w:after="80"/>
      </w:pPr>
      <w:r>
        <w:rPr>
          <w:rFonts w:ascii="Calibri" w:hAnsi="Calibri"/>
          <w:b w:val="0"/>
          <w:sz w:val="20"/>
        </w:rPr>
        <w:t>Repeated dose: NOAEL 900 mg/kg bw, LOAEL 3,600 mg/kg bw (oral, rat, 90d)</w:t>
      </w:r>
    </w:p>
    <w:p>
      <w:pPr>
        <w:spacing w:before="0" w:after="80"/>
      </w:pPr>
      <w:r>
        <w:rPr>
          <w:rFonts w:ascii="Calibri" w:hAnsi="Calibri"/>
          <w:b w:val="0"/>
          <w:sz w:val="20"/>
        </w:rPr>
        <w:t>Endocrine disrupting properties: Not classified per CLP 2024/2865, Reg. 2017/2100, or Reg. 2018/605.</w:t>
      </w:r>
    </w:p>
    <w:p>
      <w:pPr>
        <w:spacing w:before="200" w:after="120"/>
        <w:ind w:left="144"/>
        <w:pBdr>
          <w:left w:val="single" w:sz="24" w:color="0071B8" w:space="8"/>
        </w:pBdr>
      </w:pPr>
      <w:r>
        <w:rPr>
          <w:rFonts w:ascii="Calibri" w:hAnsi="Calibri"/>
          <w:b/>
          <w:color w:val="2B2E33"/>
          <w:sz w:val="26"/>
        </w:rPr>
        <w:t>SECTION 12: Ecological information</w:t>
      </w:r>
    </w:p>
    <w:p>
      <w:pPr>
        <w:spacing w:before="0" w:after="80"/>
      </w:pPr>
      <w:r>
        <w:rPr>
          <w:rFonts w:ascii="Calibri" w:hAnsi="Calibri"/>
          <w:b w:val="0"/>
          <w:sz w:val="20"/>
        </w:rPr>
        <w:t>Fish LC50 (96h): 230 mg/l (Pimephales promelas)</w:t>
      </w:r>
    </w:p>
    <w:p>
      <w:pPr>
        <w:spacing w:before="0" w:after="80"/>
      </w:pPr>
      <w:r>
        <w:rPr>
          <w:rFonts w:ascii="Calibri" w:hAnsi="Calibri"/>
          <w:b w:val="0"/>
          <w:sz w:val="20"/>
        </w:rPr>
        <w:t>Daphnia EC50 (48h): 720 mg/l (Daphnia magna)</w:t>
      </w:r>
    </w:p>
    <w:p>
      <w:pPr>
        <w:spacing w:before="0" w:after="80"/>
      </w:pPr>
      <w:r>
        <w:rPr>
          <w:rFonts w:ascii="Calibri" w:hAnsi="Calibri"/>
          <w:b w:val="0"/>
          <w:sz w:val="20"/>
        </w:rPr>
        <w:t>Biodegradation: 100 % — 28 days — Readily biodegradable</w:t>
      </w:r>
    </w:p>
    <w:p>
      <w:pPr>
        <w:spacing w:before="0" w:after="80"/>
      </w:pPr>
      <w:r>
        <w:rPr>
          <w:rFonts w:ascii="Calibri" w:hAnsi="Calibri"/>
          <w:b w:val="0"/>
          <w:sz w:val="20"/>
        </w:rPr>
        <w:t>Log Pow: 0.73 — low bioaccumulation potential</w:t>
      </w:r>
    </w:p>
    <w:p>
      <w:pPr>
        <w:spacing w:before="0" w:after="80"/>
      </w:pPr>
      <w:r>
        <w:rPr>
          <w:rFonts w:ascii="Calibri" w:hAnsi="Calibri"/>
          <w:b w:val="0"/>
          <w:sz w:val="20"/>
        </w:rPr>
        <w:t>Not PBT or vPvB per REACH Annex XIII.</w:t>
      </w:r>
    </w:p>
    <w:p>
      <w:pPr>
        <w:spacing w:before="200" w:after="120"/>
        <w:ind w:left="144"/>
        <w:pBdr>
          <w:left w:val="single" w:sz="24" w:color="0071B8" w:space="8"/>
        </w:pBdr>
      </w:pPr>
      <w:r>
        <w:rPr>
          <w:rFonts w:ascii="Calibri" w:hAnsi="Calibri"/>
          <w:b/>
          <w:color w:val="2B2E33"/>
          <w:sz w:val="26"/>
        </w:rPr>
        <w:t>SECTION 13: Disposal considerations</w:t>
      </w:r>
    </w:p>
    <w:p>
      <w:pPr>
        <w:spacing w:before="0" w:after="80"/>
      </w:pPr>
      <w:r>
        <w:rPr>
          <w:rFonts w:ascii="Calibri" w:hAnsi="Calibri"/>
          <w:b w:val="0"/>
          <w:sz w:val="20"/>
        </w:rPr>
        <w:t>Dispose in accordance with local/national/international regulations.</w:t>
      </w:r>
    </w:p>
    <w:p>
      <w:pPr>
        <w:spacing w:before="0" w:after="80"/>
      </w:pPr>
      <w:r>
        <w:rPr>
          <w:rFonts w:ascii="Calibri" w:hAnsi="Calibri"/>
          <w:b w:val="0"/>
          <w:sz w:val="20"/>
        </w:rPr>
        <w:t>Do not re-use empty containers. Flammable vapours may accumulate.</w:t>
      </w:r>
    </w:p>
    <w:p>
      <w:pPr>
        <w:spacing w:before="200" w:after="120"/>
        <w:ind w:left="144"/>
        <w:pBdr>
          <w:left w:val="single" w:sz="24" w:color="0071B8" w:space="8"/>
        </w:pBdr>
      </w:pPr>
      <w:r>
        <w:rPr>
          <w:rFonts w:ascii="Calibri" w:hAnsi="Calibri"/>
          <w:b/>
          <w:color w:val="2B2E33"/>
          <w:sz w:val="26"/>
        </w:rPr>
        <w:t>SECTION 14: Transport information</w:t>
      </w:r>
    </w:p>
    <w:tbl>
      <w:tblPr>
        <w:tblStyle w:val="TableGrid"/>
        <w:tblW w:type="auto" w:w="0"/>
        <w:tblLook w:firstColumn="1" w:firstRow="1" w:lastColumn="0" w:lastRow="0" w:noHBand="0" w:noVBand="1" w:val="04A0"/>
      </w:tblPr>
      <w:tblGrid>
        <w:gridCol w:w="1882"/>
        <w:gridCol w:w="1882"/>
        <w:gridCol w:w="1882"/>
        <w:gridCol w:w="1882"/>
        <w:gridCol w:w="1882"/>
      </w:tblGrid>
      <w:tr>
        <w:tc>
          <w:tcPr>
            <w:tcW w:type="dxa" w:w="1882"/>
            <w:shd w:val="clear" w:color="auto" w:fill="004C98"/>
          </w:tcPr>
          <w:p>
            <w:r/>
            <w:r>
              <w:rPr>
                <w:rFonts w:ascii="Calibri" w:hAnsi="Calibri"/>
                <w:b/>
                <w:color w:val="FFFFFF"/>
                <w:sz w:val="19"/>
              </w:rPr>
              <w:t>Mode</w:t>
            </w:r>
          </w:p>
        </w:tc>
        <w:tc>
          <w:tcPr>
            <w:tcW w:type="dxa" w:w="1882"/>
            <w:shd w:val="clear" w:color="auto" w:fill="004C98"/>
          </w:tcPr>
          <w:p>
            <w:r/>
            <w:r>
              <w:rPr>
                <w:rFonts w:ascii="Calibri" w:hAnsi="Calibri"/>
                <w:b/>
                <w:color w:val="FFFFFF"/>
                <w:sz w:val="19"/>
              </w:rPr>
              <w:t>UN No.</w:t>
            </w:r>
          </w:p>
        </w:tc>
        <w:tc>
          <w:tcPr>
            <w:tcW w:type="dxa" w:w="1882"/>
            <w:shd w:val="clear" w:color="auto" w:fill="004C98"/>
          </w:tcPr>
          <w:p>
            <w:r/>
            <w:r>
              <w:rPr>
                <w:rFonts w:ascii="Calibri" w:hAnsi="Calibri"/>
                <w:b/>
                <w:color w:val="FFFFFF"/>
                <w:sz w:val="19"/>
              </w:rPr>
              <w:t>Shipping name</w:t>
            </w:r>
          </w:p>
        </w:tc>
        <w:tc>
          <w:tcPr>
            <w:tcW w:type="dxa" w:w="1882"/>
            <w:shd w:val="clear" w:color="auto" w:fill="004C98"/>
          </w:tcPr>
          <w:p>
            <w:r/>
            <w:r>
              <w:rPr>
                <w:rFonts w:ascii="Calibri" w:hAnsi="Calibri"/>
                <w:b/>
                <w:color w:val="FFFFFF"/>
                <w:sz w:val="19"/>
              </w:rPr>
              <w:t>Class</w:t>
            </w:r>
          </w:p>
        </w:tc>
        <w:tc>
          <w:tcPr>
            <w:tcW w:type="dxa" w:w="1882"/>
            <w:shd w:val="clear" w:color="auto" w:fill="004C98"/>
          </w:tcPr>
          <w:p>
            <w:r/>
            <w:r>
              <w:rPr>
                <w:rFonts w:ascii="Calibri" w:hAnsi="Calibri"/>
                <w:b/>
                <w:color w:val="FFFFFF"/>
                <w:sz w:val="19"/>
              </w:rPr>
              <w:t>PG</w:t>
            </w:r>
          </w:p>
        </w:tc>
      </w:tr>
      <w:tr>
        <w:tc>
          <w:tcPr>
            <w:tcW w:type="dxa" w:w="1882"/>
          </w:tcPr>
          <w:p>
            <w:r/>
            <w:r>
              <w:rPr>
                <w:rFonts w:ascii="Calibri" w:hAnsi="Calibri"/>
                <w:b/>
                <w:color w:val="2B2E33"/>
                <w:sz w:val="19"/>
              </w:rPr>
              <w:t>ADR (road)</w:t>
            </w:r>
          </w:p>
        </w:tc>
        <w:tc>
          <w:tcPr>
            <w:tcW w:type="dxa" w:w="1882"/>
          </w:tcPr>
          <w:p>
            <w:r/>
            <w:r>
              <w:rPr>
                <w:rFonts w:ascii="Calibri" w:hAnsi="Calibri"/>
                <w:color w:val="2B2E33"/>
                <w:sz w:val="19"/>
              </w:rPr>
              <w:t>1173</w:t>
            </w:r>
          </w:p>
        </w:tc>
        <w:tc>
          <w:tcPr>
            <w:tcW w:type="dxa" w:w="1882"/>
          </w:tcPr>
          <w:p>
            <w:r/>
            <w:r>
              <w:rPr>
                <w:rFonts w:ascii="Calibri" w:hAnsi="Calibri"/>
                <w:color w:val="2B2E33"/>
                <w:sz w:val="19"/>
              </w:rPr>
              <w:t>ETHYL ACETATE</w:t>
            </w:r>
          </w:p>
        </w:tc>
        <w:tc>
          <w:tcPr>
            <w:tcW w:type="dxa" w:w="1882"/>
          </w:tcPr>
          <w:p>
            <w:r/>
            <w:r>
              <w:rPr>
                <w:rFonts w:ascii="Calibri" w:hAnsi="Calibri"/>
                <w:color w:val="2B2E33"/>
                <w:sz w:val="19"/>
              </w:rPr>
              <w:t>3</w:t>
            </w:r>
          </w:p>
        </w:tc>
        <w:tc>
          <w:tcPr>
            <w:tcW w:type="dxa" w:w="1882"/>
          </w:tcPr>
          <w:p>
            <w:r/>
            <w:r>
              <w:rPr>
                <w:rFonts w:ascii="Calibri" w:hAnsi="Calibri"/>
                <w:color w:val="2B2E33"/>
                <w:sz w:val="19"/>
              </w:rPr>
              <w:t>II</w:t>
            </w:r>
          </w:p>
        </w:tc>
      </w:tr>
      <w:tr>
        <w:tc>
          <w:tcPr>
            <w:tcW w:type="dxa" w:w="1882"/>
            <w:shd w:val="clear" w:color="auto" w:fill="F2F6FA"/>
          </w:tcPr>
          <w:p>
            <w:r/>
            <w:r>
              <w:rPr>
                <w:rFonts w:ascii="Calibri" w:hAnsi="Calibri"/>
                <w:b/>
                <w:color w:val="2B2E33"/>
                <w:sz w:val="19"/>
              </w:rPr>
              <w:t>IMDG (sea)</w:t>
            </w:r>
          </w:p>
        </w:tc>
        <w:tc>
          <w:tcPr>
            <w:tcW w:type="dxa" w:w="1882"/>
            <w:shd w:val="clear" w:color="auto" w:fill="F2F6FA"/>
          </w:tcPr>
          <w:p>
            <w:r/>
            <w:r>
              <w:rPr>
                <w:rFonts w:ascii="Calibri" w:hAnsi="Calibri"/>
                <w:color w:val="2B2E33"/>
                <w:sz w:val="19"/>
              </w:rPr>
              <w:t>1173</w:t>
            </w:r>
          </w:p>
        </w:tc>
        <w:tc>
          <w:tcPr>
            <w:tcW w:type="dxa" w:w="1882"/>
            <w:shd w:val="clear" w:color="auto" w:fill="F2F6FA"/>
          </w:tcPr>
          <w:p>
            <w:r/>
            <w:r>
              <w:rPr>
                <w:rFonts w:ascii="Calibri" w:hAnsi="Calibri"/>
                <w:color w:val="2B2E33"/>
                <w:sz w:val="19"/>
              </w:rPr>
              <w:t>ETHYL ACETATE</w:t>
            </w:r>
          </w:p>
        </w:tc>
        <w:tc>
          <w:tcPr>
            <w:tcW w:type="dxa" w:w="1882"/>
            <w:shd w:val="clear" w:color="auto" w:fill="F2F6FA"/>
          </w:tcPr>
          <w:p>
            <w:r/>
            <w:r>
              <w:rPr>
                <w:rFonts w:ascii="Calibri" w:hAnsi="Calibri"/>
                <w:color w:val="2B2E33"/>
                <w:sz w:val="19"/>
              </w:rPr>
              <w:t>3</w:t>
            </w:r>
          </w:p>
        </w:tc>
        <w:tc>
          <w:tcPr>
            <w:tcW w:type="dxa" w:w="1882"/>
            <w:shd w:val="clear" w:color="auto" w:fill="F2F6FA"/>
          </w:tcPr>
          <w:p>
            <w:r/>
            <w:r>
              <w:rPr>
                <w:rFonts w:ascii="Calibri" w:hAnsi="Calibri"/>
                <w:color w:val="2B2E33"/>
                <w:sz w:val="19"/>
              </w:rPr>
              <w:t>II</w:t>
            </w:r>
          </w:p>
        </w:tc>
      </w:tr>
      <w:tr>
        <w:tc>
          <w:tcPr>
            <w:tcW w:type="dxa" w:w="1882"/>
          </w:tcPr>
          <w:p>
            <w:r/>
            <w:r>
              <w:rPr>
                <w:rFonts w:ascii="Calibri" w:hAnsi="Calibri"/>
                <w:b/>
                <w:color w:val="2B2E33"/>
                <w:sz w:val="19"/>
              </w:rPr>
              <w:t>IATA (air)</w:t>
            </w:r>
          </w:p>
        </w:tc>
        <w:tc>
          <w:tcPr>
            <w:tcW w:type="dxa" w:w="1882"/>
          </w:tcPr>
          <w:p>
            <w:r/>
            <w:r>
              <w:rPr>
                <w:rFonts w:ascii="Calibri" w:hAnsi="Calibri"/>
                <w:color w:val="2B2E33"/>
                <w:sz w:val="19"/>
              </w:rPr>
              <w:t>1173</w:t>
            </w:r>
          </w:p>
        </w:tc>
        <w:tc>
          <w:tcPr>
            <w:tcW w:type="dxa" w:w="1882"/>
          </w:tcPr>
          <w:p>
            <w:r/>
            <w:r>
              <w:rPr>
                <w:rFonts w:ascii="Calibri" w:hAnsi="Calibri"/>
                <w:color w:val="2B2E33"/>
                <w:sz w:val="19"/>
              </w:rPr>
              <w:t>Ethyl acetate</w:t>
            </w:r>
          </w:p>
        </w:tc>
        <w:tc>
          <w:tcPr>
            <w:tcW w:type="dxa" w:w="1882"/>
          </w:tcPr>
          <w:p>
            <w:r/>
            <w:r>
              <w:rPr>
                <w:rFonts w:ascii="Calibri" w:hAnsi="Calibri"/>
                <w:color w:val="2B2E33"/>
                <w:sz w:val="19"/>
              </w:rPr>
              <w:t>3</w:t>
            </w:r>
          </w:p>
        </w:tc>
        <w:tc>
          <w:tcPr>
            <w:tcW w:type="dxa" w:w="1882"/>
          </w:tcPr>
          <w:p>
            <w:r/>
            <w:r>
              <w:rPr>
                <w:rFonts w:ascii="Calibri" w:hAnsi="Calibri"/>
                <w:color w:val="2B2E33"/>
                <w:sz w:val="19"/>
              </w:rPr>
              <w:t>II</w:t>
            </w:r>
          </w:p>
        </w:tc>
      </w:tr>
      <w:tr>
        <w:tc>
          <w:tcPr>
            <w:tcW w:type="dxa" w:w="1882"/>
            <w:shd w:val="clear" w:color="auto" w:fill="F2F6FA"/>
          </w:tcPr>
          <w:p>
            <w:r/>
            <w:r>
              <w:rPr>
                <w:rFonts w:ascii="Calibri" w:hAnsi="Calibri"/>
                <w:b/>
                <w:color w:val="2B2E33"/>
                <w:sz w:val="19"/>
              </w:rPr>
              <w:t>ADN (inland)</w:t>
            </w:r>
          </w:p>
        </w:tc>
        <w:tc>
          <w:tcPr>
            <w:tcW w:type="dxa" w:w="1882"/>
            <w:shd w:val="clear" w:color="auto" w:fill="F2F6FA"/>
          </w:tcPr>
          <w:p>
            <w:r/>
            <w:r>
              <w:rPr>
                <w:rFonts w:ascii="Calibri" w:hAnsi="Calibri"/>
                <w:color w:val="2B2E33"/>
                <w:sz w:val="19"/>
              </w:rPr>
              <w:t>1173</w:t>
            </w:r>
          </w:p>
        </w:tc>
        <w:tc>
          <w:tcPr>
            <w:tcW w:type="dxa" w:w="1882"/>
            <w:shd w:val="clear" w:color="auto" w:fill="F2F6FA"/>
          </w:tcPr>
          <w:p>
            <w:r/>
            <w:r>
              <w:rPr>
                <w:rFonts w:ascii="Calibri" w:hAnsi="Calibri"/>
                <w:color w:val="2B2E33"/>
                <w:sz w:val="19"/>
              </w:rPr>
              <w:t>ETHYL ACETATE</w:t>
            </w:r>
          </w:p>
        </w:tc>
        <w:tc>
          <w:tcPr>
            <w:tcW w:type="dxa" w:w="1882"/>
            <w:shd w:val="clear" w:color="auto" w:fill="F2F6FA"/>
          </w:tcPr>
          <w:p>
            <w:r/>
            <w:r>
              <w:rPr>
                <w:rFonts w:ascii="Calibri" w:hAnsi="Calibri"/>
                <w:color w:val="2B2E33"/>
                <w:sz w:val="19"/>
              </w:rPr>
              <w:t>3</w:t>
            </w:r>
          </w:p>
        </w:tc>
        <w:tc>
          <w:tcPr>
            <w:tcW w:type="dxa" w:w="1882"/>
            <w:shd w:val="clear" w:color="auto" w:fill="F2F6FA"/>
          </w:tcPr>
          <w:p>
            <w:r/>
            <w:r>
              <w:rPr>
                <w:rFonts w:ascii="Calibri" w:hAnsi="Calibri"/>
                <w:color w:val="2B2E33"/>
                <w:sz w:val="19"/>
              </w:rPr>
              <w:t>II</w:t>
            </w:r>
          </w:p>
        </w:tc>
      </w:tr>
      <w:tr>
        <w:tc>
          <w:tcPr>
            <w:tcW w:type="dxa" w:w="1882"/>
          </w:tcPr>
          <w:p>
            <w:r/>
            <w:r>
              <w:rPr>
                <w:rFonts w:ascii="Calibri" w:hAnsi="Calibri"/>
                <w:b/>
                <w:color w:val="2B2E33"/>
                <w:sz w:val="19"/>
              </w:rPr>
              <w:t>RID (rail)</w:t>
            </w:r>
          </w:p>
        </w:tc>
        <w:tc>
          <w:tcPr>
            <w:tcW w:type="dxa" w:w="1882"/>
          </w:tcPr>
          <w:p>
            <w:r/>
            <w:r>
              <w:rPr>
                <w:rFonts w:ascii="Calibri" w:hAnsi="Calibri"/>
                <w:color w:val="2B2E33"/>
                <w:sz w:val="19"/>
              </w:rPr>
              <w:t>1173</w:t>
            </w:r>
          </w:p>
        </w:tc>
        <w:tc>
          <w:tcPr>
            <w:tcW w:type="dxa" w:w="1882"/>
          </w:tcPr>
          <w:p>
            <w:r/>
            <w:r>
              <w:rPr>
                <w:rFonts w:ascii="Calibri" w:hAnsi="Calibri"/>
                <w:color w:val="2B2E33"/>
                <w:sz w:val="19"/>
              </w:rPr>
              <w:t>ETHYL ACETATE</w:t>
            </w:r>
          </w:p>
        </w:tc>
        <w:tc>
          <w:tcPr>
            <w:tcW w:type="dxa" w:w="1882"/>
          </w:tcPr>
          <w:p>
            <w:r/>
            <w:r>
              <w:rPr>
                <w:rFonts w:ascii="Calibri" w:hAnsi="Calibri"/>
                <w:color w:val="2B2E33"/>
                <w:sz w:val="19"/>
              </w:rPr>
              <w:t>3</w:t>
            </w:r>
          </w:p>
        </w:tc>
        <w:tc>
          <w:tcPr>
            <w:tcW w:type="dxa" w:w="1882"/>
          </w:tcPr>
          <w:p>
            <w:r/>
            <w:r>
              <w:rPr>
                <w:rFonts w:ascii="Calibri" w:hAnsi="Calibri"/>
                <w:color w:val="2B2E33"/>
                <w:sz w:val="19"/>
              </w:rPr>
              <w:t>II</w:t>
            </w:r>
          </w:p>
        </w:tc>
      </w:tr>
    </w:tbl>
    <w:p>
      <w:pPr>
        <w:spacing w:before="0" w:after="80"/>
      </w:pPr>
      <w:r>
        <w:rPr>
          <w:rFonts w:ascii="Calibri" w:hAnsi="Calibri"/>
          <w:b w:val="0"/>
          <w:sz w:val="20"/>
        </w:rPr>
        <w:t>Tunnel code: D/E | Kemler: 33 | Transport cat: 2</w:t>
      </w:r>
    </w:p>
    <w:p>
      <w:pPr>
        <w:spacing w:before="0" w:after="80"/>
      </w:pPr>
      <w:r>
        <w:rPr>
          <w:rFonts w:ascii="Calibri" w:hAnsi="Calibri"/>
          <w:b w:val="0"/>
          <w:sz w:val="20"/>
        </w:rPr>
        <w:t>Limited qty: 1 L | Excepted qty: E2</w:t>
      </w:r>
    </w:p>
    <w:p>
      <w:pPr>
        <w:spacing w:before="200" w:after="120"/>
        <w:ind w:left="144"/>
        <w:pBdr>
          <w:left w:val="single" w:sz="24" w:color="0071B8" w:space="8"/>
        </w:pBdr>
      </w:pPr>
      <w:r>
        <w:rPr>
          <w:rFonts w:ascii="Calibri" w:hAnsi="Calibri"/>
          <w:b/>
          <w:color w:val="2B2E33"/>
          <w:sz w:val="26"/>
        </w:rPr>
        <w:t>SECTION 15: Regulatory information</w:t>
      </w:r>
    </w:p>
    <w:p>
      <w:pPr>
        <w:spacing w:before="0" w:after="80"/>
      </w:pPr>
      <w:r>
        <w:rPr>
          <w:rFonts w:ascii="Calibri" w:hAnsi="Calibri"/>
          <w:b w:val="0"/>
          <w:sz w:val="20"/>
        </w:rPr>
        <w:t>REACH Annex XVII: No restrictions. Not on SVHC Candidate List or Annex XIV.</w:t>
      </w:r>
    </w:p>
    <w:p>
      <w:pPr>
        <w:spacing w:before="0" w:after="80"/>
      </w:pPr>
      <w:r>
        <w:rPr>
          <w:rFonts w:ascii="Calibri" w:hAnsi="Calibri"/>
          <w:b w:val="0"/>
          <w:sz w:val="20"/>
        </w:rPr>
        <w:t>PIC Reg. (EU) 649/2012: Not subject. POP Reg. (EU) 2019/1021: Not subject.</w:t>
      </w:r>
    </w:p>
    <w:p>
      <w:pPr>
        <w:spacing w:before="0" w:after="80"/>
      </w:pPr>
      <w:r>
        <w:rPr>
          <w:rFonts w:ascii="Calibri" w:hAnsi="Calibri"/>
          <w:b w:val="0"/>
          <w:sz w:val="20"/>
        </w:rPr>
        <w:t>Germany WGK: WGK 1 — Slightly hazardous to water (AwSV; ID No. 95)</w:t>
      </w:r>
    </w:p>
    <w:p>
      <w:pPr>
        <w:spacing w:before="0" w:after="80"/>
      </w:pPr>
      <w:r>
        <w:rPr>
          <w:rFonts w:ascii="Calibri" w:hAnsi="Calibri"/>
          <w:b w:val="0"/>
          <w:sz w:val="20"/>
        </w:rPr>
        <w:t>Denmark: Young persons under 18 not allowed to use the product.</w:t>
      </w:r>
    </w:p>
    <w:p>
      <w:pPr>
        <w:spacing w:before="200" w:after="120"/>
        <w:ind w:left="144"/>
        <w:pBdr>
          <w:left w:val="single" w:sz="24" w:color="0071B8" w:space="8"/>
        </w:pBdr>
      </w:pPr>
      <w:r>
        <w:rPr>
          <w:rFonts w:ascii="Calibri" w:hAnsi="Calibri"/>
          <w:b/>
          <w:color w:val="2B2E33"/>
          <w:sz w:val="26"/>
        </w:rPr>
        <w:t>SECTION 16: Other information</w:t>
      </w:r>
    </w:p>
    <w:tbl>
      <w:tblPr>
        <w:tblStyle w:val="TableGrid"/>
        <w:tblW w:type="auto" w:w="0"/>
        <w:tblLook w:firstColumn="1" w:firstRow="1" w:lastColumn="0" w:lastRow="0" w:noHBand="0" w:noVBand="1" w:val="04A0"/>
      </w:tblPr>
      <w:tblGrid>
        <w:gridCol w:w="4706"/>
        <w:gridCol w:w="4706"/>
      </w:tblGrid>
      <w:tr>
        <w:tc>
          <w:tcPr>
            <w:tcW w:type="dxa" w:w="4706"/>
            <w:shd w:val="clear" w:color="auto" w:fill="004C98"/>
          </w:tcPr>
          <w:p>
            <w:r/>
            <w:r>
              <w:rPr>
                <w:rFonts w:ascii="Calibri" w:hAnsi="Calibri"/>
                <w:b/>
                <w:color w:val="FFFFFF"/>
                <w:sz w:val="19"/>
              </w:rPr>
              <w:t>Code</w:t>
            </w:r>
          </w:p>
        </w:tc>
        <w:tc>
          <w:tcPr>
            <w:tcW w:type="dxa" w:w="4706"/>
            <w:shd w:val="clear" w:color="auto" w:fill="004C98"/>
          </w:tcPr>
          <w:p>
            <w:r/>
            <w:r>
              <w:rPr>
                <w:rFonts w:ascii="Calibri" w:hAnsi="Calibri"/>
                <w:b/>
                <w:color w:val="FFFFFF"/>
                <w:sz w:val="19"/>
              </w:rPr>
              <w:t>Text</w:t>
            </w:r>
          </w:p>
        </w:tc>
      </w:tr>
      <w:tr>
        <w:tc>
          <w:tcPr>
            <w:tcW w:type="dxa" w:w="4706"/>
          </w:tcPr>
          <w:p>
            <w:r/>
            <w:r>
              <w:rPr>
                <w:rFonts w:ascii="Calibri" w:hAnsi="Calibri"/>
                <w:b/>
                <w:color w:val="2B2E33"/>
                <w:sz w:val="19"/>
              </w:rPr>
              <w:t>H225</w:t>
            </w:r>
          </w:p>
        </w:tc>
        <w:tc>
          <w:tcPr>
            <w:tcW w:type="dxa" w:w="4706"/>
          </w:tcPr>
          <w:p>
            <w:r/>
            <w:r>
              <w:rPr>
                <w:rFonts w:ascii="Calibri" w:hAnsi="Calibri"/>
                <w:color w:val="2B2E33"/>
                <w:sz w:val="19"/>
              </w:rPr>
              <w:t>Highly flammable liquid and vapour.</w:t>
            </w:r>
          </w:p>
        </w:tc>
      </w:tr>
      <w:tr>
        <w:tc>
          <w:tcPr>
            <w:tcW w:type="dxa" w:w="4706"/>
            <w:shd w:val="clear" w:color="auto" w:fill="F2F6FA"/>
          </w:tcPr>
          <w:p>
            <w:r/>
            <w:r>
              <w:rPr>
                <w:rFonts w:ascii="Calibri" w:hAnsi="Calibri"/>
                <w:b/>
                <w:color w:val="2B2E33"/>
                <w:sz w:val="19"/>
              </w:rPr>
              <w:t>H319</w:t>
            </w:r>
          </w:p>
        </w:tc>
        <w:tc>
          <w:tcPr>
            <w:tcW w:type="dxa" w:w="4706"/>
            <w:shd w:val="clear" w:color="auto" w:fill="F2F6FA"/>
          </w:tcPr>
          <w:p>
            <w:r/>
            <w:r>
              <w:rPr>
                <w:rFonts w:ascii="Calibri" w:hAnsi="Calibri"/>
                <w:color w:val="2B2E33"/>
                <w:sz w:val="19"/>
              </w:rPr>
              <w:t>Causes serious eye irritation.</w:t>
            </w:r>
          </w:p>
        </w:tc>
      </w:tr>
      <w:tr>
        <w:tc>
          <w:tcPr>
            <w:tcW w:type="dxa" w:w="4706"/>
          </w:tcPr>
          <w:p>
            <w:r/>
            <w:r>
              <w:rPr>
                <w:rFonts w:ascii="Calibri" w:hAnsi="Calibri"/>
                <w:b/>
                <w:color w:val="2B2E33"/>
                <w:sz w:val="19"/>
              </w:rPr>
              <w:t>H336</w:t>
            </w:r>
          </w:p>
        </w:tc>
        <w:tc>
          <w:tcPr>
            <w:tcW w:type="dxa" w:w="4706"/>
          </w:tcPr>
          <w:p>
            <w:r/>
            <w:r>
              <w:rPr>
                <w:rFonts w:ascii="Calibri" w:hAnsi="Calibri"/>
                <w:color w:val="2B2E33"/>
                <w:sz w:val="19"/>
              </w:rPr>
              <w:t>May cause drowsiness or dizziness.</w:t>
            </w:r>
          </w:p>
        </w:tc>
      </w:tr>
      <w:tr>
        <w:tc>
          <w:tcPr>
            <w:tcW w:type="dxa" w:w="4706"/>
            <w:shd w:val="clear" w:color="auto" w:fill="F2F6FA"/>
          </w:tcPr>
          <w:p>
            <w:r/>
            <w:r>
              <w:rPr>
                <w:rFonts w:ascii="Calibri" w:hAnsi="Calibri"/>
                <w:b/>
                <w:color w:val="2B2E33"/>
                <w:sz w:val="19"/>
              </w:rPr>
              <w:t>EUH066</w:t>
            </w:r>
          </w:p>
        </w:tc>
        <w:tc>
          <w:tcPr>
            <w:tcW w:type="dxa" w:w="4706"/>
            <w:shd w:val="clear" w:color="auto" w:fill="F2F6FA"/>
          </w:tcPr>
          <w:p>
            <w:r/>
            <w:r>
              <w:rPr>
                <w:rFonts w:ascii="Calibri" w:hAnsi="Calibri"/>
                <w:color w:val="2B2E33"/>
                <w:sz w:val="19"/>
              </w:rPr>
              <w:t>Repeated exposure may cause skin dryness or cracking.</w:t>
            </w:r>
          </w:p>
        </w:tc>
      </w:tr>
    </w:tbl>
    <w:p>
      <w:pPr>
        <w:spacing w:before="0" w:after="80"/>
      </w:pPr>
      <w:r>
        <w:rPr>
          <w:rFonts w:ascii="Calibri" w:hAnsi="Calibri"/>
          <w:b w:val="0"/>
          <w:sz w:val="20"/>
        </w:rPr>
        <w:t>Abbreviations: ADN, ADR, CAS, CLP, DMEL, DNEL, EC50, ED, IATA, IMDG, LC50, LD50, LOAEL, NOAEL, PBT, PMT, PNEC, REACH, RID, SDS, STOT, vPvB, vPvM, WGK</w:t>
      </w:r>
    </w:p>
    <w:p>
      <w:pPr>
        <w:spacing w:before="0" w:after="80"/>
      </w:pPr>
      <w:r>
        <w:rPr>
          <w:rFonts w:ascii="Calibri" w:hAnsi="Calibri"/>
          <w:b w:val="0"/>
          <w:sz w:val="20"/>
        </w:rPr>
      </w:r>
    </w:p>
    <w:p>
      <w:pPr>
        <w:spacing w:before="0" w:after="80"/>
      </w:pPr>
      <w:r>
        <w:rPr>
          <w:rFonts w:ascii="Calibri" w:hAnsi="Calibri"/>
          <w:b w:val="0"/>
          <w:color w:val="5B6670"/>
          <w:sz w:val="16"/>
        </w:rPr>
        <w:t>Disclaimer of Liability: The information in this SDS was obtained from sources which we believe are reliable. However, the information is provided without any warranty, express or implied, regarding its correctness. The conditions or methods of handling, storage, use or disposal of the product are beyond our control and may be beyond our knowledge.</w:t>
      </w:r>
    </w:p>
    <w:sectPr w:rsidR="00FC693F" w:rsidRPr="0006063C" w:rsidSect="00034616">
      <w:headerReference w:type="default" r:id="rId9"/>
      <w:footerReference w:type="default" r:id="rId10"/>
      <w:pgSz w:w="11906" w:h="16838"/>
      <w:pgMar w:top="2041" w:right="1247" w:bottom="158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9E1E8"/>
      </w:pBdr>
    </w:pPr>
    <w:r/>
  </w:p>
  <w:p>
    <w:pPr>
      <w:spacing w:before="80" w:after="20"/>
      <w:jc w:val="center"/>
    </w:pPr>
    <w:r>
      <w:rPr>
        <w:rFonts w:ascii="Calibri" w:hAnsi="Calibri"/>
        <w:color w:val="5B6670"/>
        <w:sz w:val="15"/>
      </w:rPr>
      <w:t>Synthesia Ltd.  ·  VAT BG121306542  ·  Todor Radunchev 9, Krivina 1588, Bulgaria  ·  +359 2 974 4968  ·  office@synthesia.bg</w:t>
    </w:r>
  </w:p>
  <w:p>
    <w:pPr>
      <w:spacing w:after="40"/>
      <w:jc w:val="center"/>
    </w:pPr>
    <w:r>
      <w:rPr>
        <w:rFonts w:ascii="Calibri" w:hAnsi="Calibri"/>
        <w:i/>
        <w:color w:val="5B6670"/>
        <w:sz w:val="14"/>
      </w:rPr>
      <w:t>Certified ISO 9001:2015 · ISO 14001:2015 · ISO 45001:2018  —  TÜV Rheinland, ID 9105074744</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4706"/>
      <w:gridCol w:w="4706"/>
    </w:tblGrid>
    <w:tr>
      <w:tc>
        <w:tcPr>
          <w:tcW w:type="dxa" w:w="4706"/>
          <w:vAlign w:val="center"/>
        </w:tcPr>
        <w:p>
          <w:pPr>
            <w:jc w:val="left"/>
          </w:pPr>
          <w:r>
            <w:rPr>
              <w:rFonts w:ascii="Calibri" w:hAnsi="Calibri"/>
              <w:color w:val="5B6670"/>
              <w:sz w:val="16"/>
            </w:rPr>
            <w:t>SDS-2026-014</w:t>
          </w:r>
        </w:p>
      </w:tc>
      <w:tc>
        <w:tcPr>
          <w:tcW w:type="dxa" w:w="4706"/>
          <w:vAlign w:val="center"/>
        </w:tcPr>
        <w:p>
          <w:pPr>
            <w:jc w:val="right"/>
          </w:pPr>
          <w:r>
            <w:rPr>
              <w:rFonts w:ascii="Calibri" w:hAnsi="Calibri"/>
              <w:color w:val="5B6670"/>
              <w:sz w:val="16"/>
            </w:rPr>
            <w:t xml:space="preserve">Page </w:t>
          </w:r>
          <w:r>
            <w:rPr>
              <w:rFonts w:ascii="Calibri" w:hAnsi="Calibri"/>
              <w:color w:val="5B6670"/>
              <w:sz w:val="16"/>
            </w:rPr>
            <w:fldChar w:fldCharType="begin"/>
            <w:instrText xml:space="preserve">PAGE</w:instrText>
            <w:fldChar w:fldCharType="end"/>
          </w:r>
          <w:r>
            <w:rPr>
              <w:rFonts w:ascii="Calibri" w:hAnsi="Calibri"/>
              <w:color w:val="5B6670"/>
              <w:sz w:val="16"/>
            </w:rPr>
            <w:t xml:space="preserve"> of </w:t>
          </w:r>
          <w:r>
            <w:rPr>
              <w:rFonts w:ascii="Calibri" w:hAnsi="Calibri"/>
              <w:color w:val="5B6670"/>
              <w:sz w:val="16"/>
            </w:rPr>
            <w:fldChar w:fldCharType="begin"/>
            <w:instrText xml:space="preserve">NUMPAGES</w:instrText>
            <w:fldChar w:fldCharType="end"/>
          </w:r>
        </w:p>
      </w:tc>
    </w:tr>
  </w:tbl>
  <w:tbl>
    <w:tblPr>
      <w:tblW w:type="auto" w:w="0"/>
      <w:tblLook w:firstColumn="1" w:firstRow="1" w:lastColumn="0" w:lastRow="0" w:noHBand="0" w:noVBand="1" w:val="04A0"/>
      <w:tblBorders>
        <w:top w:val="nil"/>
        <w:left w:val="nil"/>
        <w:bottom w:val="nil"/>
        <w:right w:val="nil"/>
        <w:insideH w:val="nil"/>
        <w:insideV w:val="nil"/>
      </w:tblBorders>
    </w:tblPr>
    <w:tblGrid>
      <w:gridCol w:w="9411"/>
    </w:tblGrid>
    <w:tr>
      <w:trPr>
        <w:trHeight w:val="43200" w:hRule="exact"/>
      </w:trPr>
      <w:tc>
        <w:tcPr>
          <w:tcW w:type="dxa" w:w="9411"/>
          <w:shd w:val="clear" w:color="auto" w:fill="00335F"/>
        </w:tcPr>
        <w:p>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ayout w:type="fixed"/>
      <w:tblLook w:firstColumn="1" w:firstRow="1" w:lastColumn="0" w:lastRow="0" w:noHBand="0" w:noVBand="1" w:val="04A0"/>
      <w:jc w:val="left"/>
      <w:tblBorders>
        <w:top w:val="nil"/>
        <w:left w:val="nil"/>
        <w:bottom w:val="nil"/>
        <w:right w:val="nil"/>
        <w:insideH w:val="nil"/>
        <w:insideV w:val="nil"/>
      </w:tblBorders>
    </w:tblPr>
    <w:tblGrid>
      <w:gridCol w:w="6576"/>
      <w:gridCol w:w="2835"/>
    </w:tblGrid>
    <w:tr>
      <w:tc>
        <w:tcPr>
          <w:tcW w:type="dxa" w:w="6576"/>
          <w:vAlign w:val="center"/>
        </w:tcPr>
        <w:p>
          <w:r>
            <w:drawing>
              <wp:inline xmlns:a="http://schemas.openxmlformats.org/drawingml/2006/main" xmlns:pic="http://schemas.openxmlformats.org/drawingml/2006/picture">
                <wp:extent cx="1125551" cy="540000"/>
                <wp:docPr id="1" name="Picture 1"/>
                <wp:cNvGraphicFramePr>
                  <a:graphicFrameLocks noChangeAspect="1"/>
                </wp:cNvGraphicFramePr>
                <a:graphic>
                  <a:graphicData uri="http://schemas.openxmlformats.org/drawingml/2006/picture">
                    <pic:pic>
                      <pic:nvPicPr>
                        <pic:cNvPr id="0" name="logo_correct.png"/>
                        <pic:cNvPicPr/>
                      </pic:nvPicPr>
                      <pic:blipFill>
                        <a:blip r:embed="rId1"/>
                        <a:stretch>
                          <a:fillRect/>
                        </a:stretch>
                      </pic:blipFill>
                      <pic:spPr>
                        <a:xfrm>
                          <a:off x="0" y="0"/>
                          <a:ext cx="1125551" cy="540000"/>
                        </a:xfrm>
                        <a:prstGeom prst="rect"/>
                      </pic:spPr>
                    </pic:pic>
                  </a:graphicData>
                </a:graphic>
              </wp:inline>
            </w:drawing>
          </w:r>
        </w:p>
      </w:tc>
      <w:tc>
        <w:tcPr>
          <w:tcW w:type="dxa" w:w="2835"/>
          <w:vAlign w:val="center"/>
        </w:tcPr>
        <w:p>
          <w:pPr>
            <w:jc w:val="right"/>
          </w:pPr>
          <w:r>
            <w:drawing>
              <wp:inline xmlns:a="http://schemas.openxmlformats.org/drawingml/2006/main" xmlns:pic="http://schemas.openxmlformats.org/drawingml/2006/picture">
                <wp:extent cx="538221" cy="540000"/>
                <wp:docPr id="2" name="Picture 2"/>
                <wp:cNvGraphicFramePr>
                  <a:graphicFrameLocks noChangeAspect="1"/>
                </wp:cNvGraphicFramePr>
                <a:graphic>
                  <a:graphicData uri="http://schemas.openxmlformats.org/drawingml/2006/picture">
                    <pic:pic>
                      <pic:nvPicPr>
                        <pic:cNvPr id="0" name="iso_seal_only.png"/>
                        <pic:cNvPicPr/>
                      </pic:nvPicPr>
                      <pic:blipFill>
                        <a:blip r:embed="rId2"/>
                        <a:stretch>
                          <a:fillRect/>
                        </a:stretch>
                      </pic:blipFill>
                      <pic:spPr>
                        <a:xfrm>
                          <a:off x="0" y="0"/>
                          <a:ext cx="538221" cy="540000"/>
                        </a:xfrm>
                        <a:prstGeom prst="rect"/>
                      </pic:spPr>
                    </pic:pic>
                  </a:graphicData>
                </a:graphic>
              </wp:inline>
            </w:drawing>
          </w:r>
        </w:p>
      </w:tc>
    </w:tr>
  </w:tbl>
  <w:p>
    <w:pPr>
      <w:spacing w:before="80" w:after="0"/>
      <w:jc w:val="right"/>
    </w:pPr>
    <w:r>
      <w:rPr>
        <w:rFonts w:ascii="Calibri" w:hAnsi="Calibri"/>
        <w:color w:val="5B6670"/>
        <w:sz w:val="16"/>
      </w:rPr>
      <w:t>SDS-2026-014   ·   Rev 3   ·   2026-07-04</w:t>
    </w:r>
  </w:p>
  <w:p>
    <w:pPr>
      <w:spacing w:before="120" w:after="0"/>
      <w:pBdr>
        <w:bottom w:val="single" w:sz="8" w:space="4" w:color="004C98"/>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2B2E3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